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rPr>
          <w:rFonts w:ascii="黑体" w:hAnsi="黑体" w:eastAsia="黑体" w:cs="黑体"/>
          <w:b/>
          <w:kern w:val="2"/>
          <w:sz w:val="36"/>
          <w:szCs w:val="36"/>
        </w:rPr>
      </w:pPr>
      <w:bookmarkStart w:id="0" w:name="_GoBack"/>
      <w:bookmarkEnd w:id="0"/>
      <w:r>
        <w:rPr>
          <w:rFonts w:hint="eastAsia" w:ascii="黑体" w:hAnsi="黑体" w:eastAsia="黑体" w:cs="黑体"/>
          <w:b/>
          <w:kern w:val="2"/>
          <w:sz w:val="36"/>
          <w:szCs w:val="36"/>
        </w:rPr>
        <w:t>附件2</w:t>
      </w:r>
    </w:p>
    <w:p>
      <w:pPr>
        <w:widowControl w:val="0"/>
        <w:spacing w:after="0" w:line="240" w:lineRule="auto"/>
        <w:jc w:val="center"/>
        <w:rPr>
          <w:rFonts w:ascii="宋体" w:hAnsi="宋体"/>
          <w:b/>
          <w:kern w:val="2"/>
          <w:sz w:val="36"/>
          <w:szCs w:val="36"/>
        </w:rPr>
      </w:pPr>
    </w:p>
    <w:p>
      <w:pPr>
        <w:widowControl w:val="0"/>
        <w:spacing w:after="0" w:line="240" w:lineRule="auto"/>
        <w:jc w:val="center"/>
        <w:rPr>
          <w:rFonts w:ascii="宋体"/>
          <w:b/>
          <w:kern w:val="2"/>
          <w:sz w:val="36"/>
          <w:szCs w:val="36"/>
        </w:rPr>
      </w:pPr>
      <w:r>
        <w:rPr>
          <w:rFonts w:hint="eastAsia" w:ascii="宋体" w:hAnsi="宋体"/>
          <w:b/>
          <w:kern w:val="2"/>
          <w:sz w:val="36"/>
          <w:szCs w:val="36"/>
        </w:rPr>
        <w:t>中国田径协会裁判员讲师管理办法（试行）</w:t>
      </w:r>
    </w:p>
    <w:p>
      <w:pPr>
        <w:widowControl w:val="0"/>
        <w:adjustRightInd w:val="0"/>
        <w:snapToGrid w:val="0"/>
        <w:spacing w:after="0" w:line="360" w:lineRule="auto"/>
        <w:jc w:val="center"/>
        <w:rPr>
          <w:rFonts w:ascii="Arial" w:hAnsi="Arial" w:eastAsia="仿宋_GB2312" w:cs="Arial"/>
          <w:b/>
          <w:bCs/>
          <w:kern w:val="2"/>
          <w:sz w:val="32"/>
          <w:szCs w:val="28"/>
        </w:rPr>
      </w:pP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 xml:space="preserve">第一章 </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总则</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 xml:space="preserve">第一条 </w:t>
      </w:r>
      <w:r>
        <w:rPr>
          <w:rFonts w:ascii="Arial" w:hAnsi="Arial" w:eastAsia="仿宋_GB2312" w:cs="Arial"/>
          <w:b/>
          <w:bCs/>
          <w:kern w:val="2"/>
          <w:sz w:val="30"/>
          <w:szCs w:val="30"/>
        </w:rPr>
        <w:t xml:space="preserve"> </w:t>
      </w:r>
      <w:r>
        <w:rPr>
          <w:rFonts w:hint="eastAsia" w:ascii="Arial" w:hAnsi="Arial" w:eastAsia="仿宋_GB2312" w:cs="Arial"/>
          <w:kern w:val="2"/>
          <w:sz w:val="30"/>
          <w:szCs w:val="30"/>
        </w:rPr>
        <w:t>为规范裁判</w:t>
      </w:r>
      <w:r>
        <w:rPr>
          <w:rFonts w:hint="eastAsia" w:ascii="Arial" w:hAnsi="Arial" w:eastAsia="仿宋_GB2312" w:cs="Arial"/>
          <w:kern w:val="2"/>
          <w:sz w:val="30"/>
          <w:szCs w:val="30"/>
          <w:lang w:val="en-US" w:eastAsia="zh-CN"/>
        </w:rPr>
        <w:t>员</w:t>
      </w:r>
      <w:r>
        <w:rPr>
          <w:rFonts w:hint="eastAsia" w:ascii="Arial" w:hAnsi="Arial" w:eastAsia="仿宋_GB2312" w:cs="Arial"/>
          <w:kern w:val="2"/>
          <w:sz w:val="30"/>
          <w:szCs w:val="30"/>
        </w:rPr>
        <w:t>培训讲师管理工作，根据国家体育总局《体育竞赛裁判员管理办法》《中国田径协会裁判员管理办法实施细则》的有关规定，制订本管理办法。</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 xml:space="preserve">第二章 </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分级管理</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第二条</w:t>
      </w:r>
      <w:r>
        <w:rPr>
          <w:rFonts w:ascii="Arial" w:hAnsi="Arial" w:eastAsia="仿宋_GB2312" w:cs="Arial"/>
          <w:b/>
          <w:bCs/>
          <w:kern w:val="2"/>
          <w:sz w:val="30"/>
          <w:szCs w:val="30"/>
        </w:rPr>
        <w:t xml:space="preserve"> </w:t>
      </w:r>
      <w:r>
        <w:rPr>
          <w:rFonts w:hint="eastAsia" w:ascii="Arial" w:hAnsi="Arial" w:eastAsia="仿宋_GB2312" w:cs="Arial"/>
          <w:kern w:val="2"/>
          <w:sz w:val="30"/>
          <w:szCs w:val="30"/>
        </w:rPr>
        <w:t>中国田径协会（以下简称“中国田协”）、各省、自治区、直辖市各级地方田径（协会）主管部门</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lang w:val="en-US" w:eastAsia="zh-CN"/>
        </w:rPr>
        <w:t>以下简称“各级田径主管部门”</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、或经授权有相应资质的单位，根据裁判员讲师的技术等级和业务水平，对裁判员讲师实行分级认证、分级注册、分级管理。</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 xml:space="preserve">第三条 </w:t>
      </w:r>
      <w:r>
        <w:rPr>
          <w:rFonts w:hint="eastAsia" w:ascii="Arial" w:hAnsi="Arial" w:eastAsia="仿宋_GB2312" w:cs="Arial"/>
          <w:kern w:val="2"/>
          <w:sz w:val="30"/>
          <w:szCs w:val="30"/>
        </w:rPr>
        <w:t>裁判员讲师分为初级、中级和高级三个等级。具有高级资格的讲师可以担任国家级及以下级别裁判</w:t>
      </w:r>
      <w:r>
        <w:rPr>
          <w:rFonts w:hint="eastAsia" w:ascii="Arial" w:hAnsi="Arial" w:eastAsia="仿宋_GB2312" w:cs="Arial"/>
          <w:kern w:val="2"/>
          <w:sz w:val="30"/>
          <w:szCs w:val="30"/>
          <w:lang w:val="en-US" w:eastAsia="zh-CN"/>
        </w:rPr>
        <w:t>员</w:t>
      </w:r>
      <w:r>
        <w:rPr>
          <w:rFonts w:hint="eastAsia" w:ascii="Arial" w:hAnsi="Arial" w:eastAsia="仿宋_GB2312" w:cs="Arial"/>
          <w:kern w:val="2"/>
          <w:sz w:val="30"/>
          <w:szCs w:val="30"/>
        </w:rPr>
        <w:t>培训（含国家A、B级）讲师，具有中级资格的讲师可以担任一级及以下级别裁判</w:t>
      </w:r>
      <w:r>
        <w:rPr>
          <w:rFonts w:hint="eastAsia" w:ascii="Arial" w:hAnsi="Arial" w:eastAsia="仿宋_GB2312" w:cs="Arial"/>
          <w:kern w:val="2"/>
          <w:sz w:val="30"/>
          <w:szCs w:val="30"/>
          <w:lang w:val="en-US" w:eastAsia="zh-CN"/>
        </w:rPr>
        <w:t>员</w:t>
      </w:r>
      <w:r>
        <w:rPr>
          <w:rFonts w:hint="eastAsia" w:ascii="Arial" w:hAnsi="Arial" w:eastAsia="仿宋_GB2312" w:cs="Arial"/>
          <w:kern w:val="2"/>
          <w:sz w:val="30"/>
          <w:szCs w:val="30"/>
        </w:rPr>
        <w:t>培训讲师，具有初级资格的讲师可以担任二、三级裁判</w:t>
      </w:r>
      <w:r>
        <w:rPr>
          <w:rFonts w:hint="eastAsia" w:ascii="Arial" w:hAnsi="Arial" w:eastAsia="仿宋_GB2312" w:cs="Arial"/>
          <w:kern w:val="2"/>
          <w:sz w:val="30"/>
          <w:szCs w:val="30"/>
          <w:lang w:val="en-US" w:eastAsia="zh-CN"/>
        </w:rPr>
        <w:t>员</w:t>
      </w:r>
      <w:r>
        <w:rPr>
          <w:rFonts w:hint="eastAsia" w:ascii="Arial" w:hAnsi="Arial" w:eastAsia="仿宋_GB2312" w:cs="Arial"/>
          <w:kern w:val="2"/>
          <w:sz w:val="30"/>
          <w:szCs w:val="30"/>
        </w:rPr>
        <w:t>培训讲师。</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第四条</w:t>
      </w:r>
      <w:r>
        <w:rPr>
          <w:rFonts w:ascii="Arial" w:hAnsi="Arial" w:eastAsia="仿宋_GB2312" w:cs="Arial"/>
          <w:kern w:val="2"/>
          <w:sz w:val="30"/>
          <w:szCs w:val="30"/>
        </w:rPr>
        <w:t xml:space="preserve"> </w:t>
      </w:r>
      <w:r>
        <w:rPr>
          <w:rFonts w:hint="eastAsia" w:ascii="Arial" w:hAnsi="Arial" w:eastAsia="仿宋_GB2312" w:cs="Arial"/>
          <w:kern w:val="2"/>
          <w:sz w:val="30"/>
          <w:szCs w:val="30"/>
        </w:rPr>
        <w:t>中国田协负责对高级裁判员讲师进行考核与管理；各级田径主管部门、或经授权有相应资质的单位负责对本部门</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单位认证的裁判员讲师进行考核与管理。</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第五条</w:t>
      </w:r>
      <w:r>
        <w:rPr>
          <w:rFonts w:ascii="Arial" w:hAnsi="Arial" w:eastAsia="仿宋_GB2312" w:cs="Arial"/>
          <w:kern w:val="2"/>
          <w:sz w:val="30"/>
          <w:szCs w:val="30"/>
        </w:rPr>
        <w:t xml:space="preserve">  </w:t>
      </w:r>
      <w:r>
        <w:rPr>
          <w:rFonts w:hint="eastAsia" w:ascii="Arial" w:hAnsi="Arial" w:eastAsia="仿宋_GB2312" w:cs="Arial"/>
          <w:kern w:val="2"/>
          <w:sz w:val="30"/>
          <w:szCs w:val="30"/>
        </w:rPr>
        <w:t>本办法适用于中国田协各级裁判员讲师。</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第三章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基本条件</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第六条</w:t>
      </w:r>
      <w:r>
        <w:rPr>
          <w:rFonts w:ascii="Arial" w:hAnsi="Arial" w:eastAsia="仿宋_GB2312" w:cs="Arial"/>
          <w:kern w:val="2"/>
          <w:sz w:val="30"/>
          <w:szCs w:val="30"/>
        </w:rPr>
        <w:t xml:space="preserve">  </w:t>
      </w:r>
      <w:r>
        <w:rPr>
          <w:rFonts w:hint="eastAsia" w:ascii="Arial" w:hAnsi="Arial" w:eastAsia="仿宋_GB2312" w:cs="Arial"/>
          <w:kern w:val="2"/>
          <w:sz w:val="30"/>
          <w:szCs w:val="30"/>
        </w:rPr>
        <w:t xml:space="preserve">裁判员讲师应拥护中国共产党的领导、热爱田径裁判工作、具有扎实的专业知识、遵纪守法、为人正派、身体健康，具有良好的职业道德，能够严格执行中国田协的各项规章制度。 </w:t>
      </w:r>
    </w:p>
    <w:p>
      <w:pPr>
        <w:pStyle w:val="5"/>
        <w:shd w:val="clear" w:color="auto" w:fill="FFFFFF"/>
        <w:tabs>
          <w:tab w:val="left" w:pos="8280"/>
        </w:tabs>
        <w:spacing w:before="0" w:beforeAutospacing="0" w:after="0" w:afterAutospacing="0"/>
        <w:ind w:right="26" w:rightChars="12"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第七条</w:t>
      </w:r>
      <w:r>
        <w:rPr>
          <w:rFonts w:hint="eastAsia" w:ascii="Arial" w:hAnsi="Arial" w:eastAsia="仿宋_GB2312" w:cs="Arial"/>
          <w:kern w:val="2"/>
          <w:sz w:val="30"/>
          <w:szCs w:val="30"/>
        </w:rPr>
        <w:t xml:space="preserve">  高级裁判员讲师应具备较高的裁判理论水平和丰富的全国性田径赛事执裁经验，担任过赛事总管，能够组织全国性田径赛事的裁判工作；中级裁判员讲师应具备较高的裁判理论水平，担任过全国性田径赛事的技术官员，具有一定的裁判组织能力；初级裁判员讲师应具备一定的裁判工作经验，担任过省级及以上田径赛事的裁判长，具有一定的裁判组织能力。</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第八条</w:t>
      </w:r>
      <w:r>
        <w:rPr>
          <w:rFonts w:ascii="Arial" w:hAnsi="Arial" w:eastAsia="仿宋_GB2312" w:cs="Arial"/>
          <w:kern w:val="2"/>
          <w:sz w:val="30"/>
          <w:szCs w:val="30"/>
        </w:rPr>
        <w:t xml:space="preserve">  </w:t>
      </w:r>
      <w:r>
        <w:rPr>
          <w:rFonts w:hint="eastAsia" w:ascii="Arial" w:hAnsi="Arial" w:eastAsia="仿宋_GB2312" w:cs="Arial"/>
          <w:kern w:val="2"/>
          <w:sz w:val="30"/>
          <w:szCs w:val="30"/>
        </w:rPr>
        <w:t>裁判员讲师应完成相应等级的裁判员讲师培训课程，并通过考核，获得相应的资格证书</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还应具备较强的裁判</w:t>
      </w:r>
      <w:r>
        <w:rPr>
          <w:rFonts w:hint="eastAsia" w:ascii="Arial" w:hAnsi="Arial" w:eastAsia="仿宋_GB2312" w:cs="Arial"/>
          <w:kern w:val="2"/>
          <w:sz w:val="30"/>
          <w:szCs w:val="30"/>
          <w:lang w:val="en-US" w:eastAsia="zh-CN"/>
        </w:rPr>
        <w:t>员培训</w:t>
      </w:r>
      <w:r>
        <w:rPr>
          <w:rFonts w:hint="eastAsia" w:ascii="Arial" w:hAnsi="Arial" w:eastAsia="仿宋_GB2312" w:cs="Arial"/>
          <w:kern w:val="2"/>
          <w:sz w:val="30"/>
          <w:szCs w:val="30"/>
        </w:rPr>
        <w:t>课程组织、教学、考核等技能能力。</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第九条</w:t>
      </w:r>
      <w:r>
        <w:rPr>
          <w:rFonts w:hint="eastAsia" w:ascii="Arial" w:hAnsi="Arial" w:eastAsia="仿宋_GB2312" w:cs="Arial"/>
          <w:kern w:val="2"/>
          <w:sz w:val="30"/>
          <w:szCs w:val="30"/>
        </w:rPr>
        <w:t xml:space="preserve"> </w:t>
      </w:r>
      <w:r>
        <w:rPr>
          <w:rFonts w:ascii="Arial" w:hAnsi="Arial" w:eastAsia="仿宋_GB2312" w:cs="Arial"/>
          <w:kern w:val="2"/>
          <w:sz w:val="30"/>
          <w:szCs w:val="30"/>
        </w:rPr>
        <w:t xml:space="preserve"> </w:t>
      </w:r>
      <w:r>
        <w:rPr>
          <w:rFonts w:hint="eastAsia" w:ascii="Arial" w:hAnsi="Arial" w:eastAsia="仿宋_GB2312" w:cs="Arial"/>
          <w:kern w:val="2"/>
          <w:sz w:val="30"/>
          <w:szCs w:val="30"/>
          <w:lang w:val="en-US" w:eastAsia="zh-CN"/>
        </w:rPr>
        <w:t>中国田协</w:t>
      </w:r>
      <w:r>
        <w:rPr>
          <w:rFonts w:hint="eastAsia" w:ascii="Arial" w:hAnsi="Arial" w:eastAsia="仿宋_GB2312" w:cs="Arial"/>
          <w:kern w:val="2"/>
          <w:sz w:val="30"/>
          <w:szCs w:val="30"/>
        </w:rPr>
        <w:t>首次认证的裁判员讲师原则上年龄不超过70周岁。各级田径主管部门、或经授权有相应资质的单位部门首次认证的裁判员讲师人选原则上年龄不超过</w:t>
      </w:r>
      <w:r>
        <w:rPr>
          <w:rFonts w:ascii="Arial" w:hAnsi="Arial" w:eastAsia="仿宋_GB2312" w:cs="Arial"/>
          <w:kern w:val="2"/>
          <w:sz w:val="30"/>
          <w:szCs w:val="30"/>
        </w:rPr>
        <w:t>60</w:t>
      </w:r>
      <w:r>
        <w:rPr>
          <w:rFonts w:hint="eastAsia" w:ascii="Arial" w:hAnsi="Arial" w:eastAsia="仿宋_GB2312" w:cs="Arial"/>
          <w:kern w:val="2"/>
          <w:sz w:val="30"/>
          <w:szCs w:val="30"/>
        </w:rPr>
        <w:t>周岁。</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第四章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认证程序</w:t>
      </w:r>
    </w:p>
    <w:p>
      <w:pPr>
        <w:widowControl w:val="0"/>
        <w:adjustRightInd w:val="0"/>
        <w:snapToGrid w:val="0"/>
        <w:spacing w:after="0" w:line="360" w:lineRule="auto"/>
        <w:ind w:firstLine="602" w:firstLineChars="200"/>
        <w:jc w:val="both"/>
        <w:rPr>
          <w:rFonts w:ascii="Arial" w:hAnsi="Arial" w:eastAsia="仿宋_GB2312" w:cs="Arial"/>
          <w:b/>
          <w:bCs/>
          <w:kern w:val="2"/>
          <w:sz w:val="30"/>
          <w:szCs w:val="30"/>
        </w:rPr>
      </w:pPr>
      <w:r>
        <w:rPr>
          <w:rFonts w:hint="eastAsia" w:ascii="Arial" w:hAnsi="Arial" w:eastAsia="仿宋_GB2312" w:cs="Arial"/>
          <w:b/>
          <w:bCs/>
          <w:kern w:val="2"/>
          <w:sz w:val="30"/>
          <w:szCs w:val="30"/>
        </w:rPr>
        <w:t>第十条</w:t>
      </w:r>
      <w:r>
        <w:rPr>
          <w:rFonts w:hint="eastAsia" w:ascii="Arial" w:hAnsi="Arial" w:eastAsia="仿宋_GB2312" w:cs="Arial"/>
          <w:kern w:val="2"/>
          <w:sz w:val="30"/>
          <w:szCs w:val="30"/>
        </w:rPr>
        <w:t xml:space="preserve"> </w:t>
      </w:r>
      <w:r>
        <w:rPr>
          <w:rFonts w:ascii="Arial" w:hAnsi="Arial" w:eastAsia="仿宋_GB2312" w:cs="Arial"/>
          <w:kern w:val="2"/>
          <w:sz w:val="30"/>
          <w:szCs w:val="30"/>
        </w:rPr>
        <w:t xml:space="preserve"> </w:t>
      </w:r>
      <w:r>
        <w:rPr>
          <w:rFonts w:hint="eastAsia" w:ascii="Arial" w:hAnsi="Arial" w:eastAsia="仿宋_GB2312" w:cs="Arial"/>
          <w:kern w:val="2"/>
          <w:sz w:val="30"/>
          <w:szCs w:val="30"/>
        </w:rPr>
        <w:t>中国田协每年对所有级别的裁判员讲师进行注册，经中国田协注册认可的裁判员讲师资格方能有效。</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第十一条</w:t>
      </w:r>
      <w:r>
        <w:rPr>
          <w:rFonts w:ascii="Arial" w:hAnsi="Arial" w:eastAsia="仿宋_GB2312" w:cs="Arial"/>
          <w:kern w:val="2"/>
          <w:sz w:val="30"/>
          <w:szCs w:val="30"/>
        </w:rPr>
        <w:t xml:space="preserve">  </w:t>
      </w:r>
      <w:r>
        <w:rPr>
          <w:rFonts w:hint="eastAsia" w:ascii="Arial" w:hAnsi="Arial" w:eastAsia="仿宋_GB2312" w:cs="Arial"/>
          <w:kern w:val="2"/>
          <w:sz w:val="30"/>
          <w:szCs w:val="30"/>
        </w:rPr>
        <w:t>中国田协原则上每2年进行一次高级裁判员讲师的培训、考核和认证。各级田径主管部门、或经授权有相应资质的单位，原则上每2年进行一次初级、中级裁判员讲师的培训、考核和认证。</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第十二条</w:t>
      </w:r>
      <w:r>
        <w:rPr>
          <w:rFonts w:ascii="Arial" w:hAnsi="Arial" w:eastAsia="仿宋_GB2312" w:cs="Arial"/>
          <w:kern w:val="2"/>
          <w:sz w:val="30"/>
          <w:szCs w:val="30"/>
        </w:rPr>
        <w:t xml:space="preserve">  </w:t>
      </w:r>
      <w:r>
        <w:rPr>
          <w:rFonts w:hint="eastAsia" w:ascii="Arial" w:hAnsi="Arial" w:eastAsia="仿宋_GB2312" w:cs="Arial"/>
          <w:kern w:val="2"/>
          <w:sz w:val="30"/>
          <w:szCs w:val="30"/>
        </w:rPr>
        <w:t>参加裁判员讲师培训人选采取中国田协选拔与各级田径主管部门、或经授权有相应资质的单位推荐相结合的方式。</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第十三条</w:t>
      </w:r>
      <w:r>
        <w:rPr>
          <w:rFonts w:ascii="Arial" w:hAnsi="Arial" w:eastAsia="仿宋_GB2312" w:cs="Arial"/>
          <w:kern w:val="2"/>
          <w:sz w:val="30"/>
          <w:szCs w:val="30"/>
        </w:rPr>
        <w:t xml:space="preserve">  </w:t>
      </w:r>
      <w:r>
        <w:rPr>
          <w:rFonts w:hint="eastAsia" w:ascii="Arial" w:hAnsi="Arial" w:eastAsia="仿宋_GB2312" w:cs="Arial"/>
          <w:kern w:val="2"/>
          <w:sz w:val="30"/>
          <w:szCs w:val="30"/>
        </w:rPr>
        <w:t>参加中国田协、或各级田径主管部门、或经授权有相应资质的单位组织的裁判员讲师培训、考核通过，并符合中国田协相关要求和程序的人选，认证为中国田协裁判员讲师</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由中国田协统一备案。</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第十四条</w:t>
      </w:r>
      <w:r>
        <w:rPr>
          <w:rFonts w:ascii="Arial" w:hAnsi="Arial" w:eastAsia="仿宋_GB2312" w:cs="Arial"/>
          <w:kern w:val="2"/>
          <w:sz w:val="30"/>
          <w:szCs w:val="30"/>
        </w:rPr>
        <w:t xml:space="preserve">  </w:t>
      </w:r>
      <w:r>
        <w:rPr>
          <w:rFonts w:hint="eastAsia" w:ascii="Arial" w:hAnsi="Arial" w:eastAsia="仿宋_GB2312" w:cs="Arial"/>
          <w:kern w:val="2"/>
          <w:sz w:val="30"/>
          <w:szCs w:val="30"/>
        </w:rPr>
        <w:t>经中国田协推荐参加过世界田联、亚洲田联主办的裁判员讲师培训班，通过考核，获得世界田联、亚洲田联裁判员讲师资格的，经中国田协认可</w:t>
      </w:r>
      <w:r>
        <w:rPr>
          <w:rFonts w:hint="eastAsia" w:ascii="Arial" w:hAnsi="Arial" w:eastAsia="仿宋_GB2312" w:cs="Arial"/>
          <w:kern w:val="2"/>
          <w:sz w:val="30"/>
          <w:szCs w:val="30"/>
          <w:lang w:val="en-US" w:eastAsia="zh-CN"/>
        </w:rPr>
        <w:t>后可以</w:t>
      </w:r>
      <w:r>
        <w:rPr>
          <w:rFonts w:hint="eastAsia" w:ascii="Arial" w:hAnsi="Arial" w:eastAsia="仿宋_GB2312" w:cs="Arial"/>
          <w:kern w:val="2"/>
          <w:sz w:val="30"/>
          <w:szCs w:val="30"/>
        </w:rPr>
        <w:t>获得高级裁判员讲师资格。</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第五章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讲师选派</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第十五条</w:t>
      </w:r>
      <w:r>
        <w:rPr>
          <w:rFonts w:ascii="Arial" w:hAnsi="Arial" w:eastAsia="仿宋_GB2312" w:cs="Arial"/>
          <w:kern w:val="2"/>
          <w:sz w:val="30"/>
          <w:szCs w:val="30"/>
        </w:rPr>
        <w:t xml:space="preserve">  </w:t>
      </w:r>
      <w:r>
        <w:rPr>
          <w:rFonts w:hint="eastAsia" w:ascii="Arial" w:hAnsi="Arial" w:eastAsia="仿宋_GB2312" w:cs="Arial"/>
          <w:kern w:val="2"/>
          <w:sz w:val="30"/>
          <w:szCs w:val="30"/>
        </w:rPr>
        <w:t>中国田协负责选派国家级裁判员培训班讲师；各省、自治区、直辖市田径（协会）主管部门负责选派一级裁判员培训班讲师；二级、三级裁判员培训班讲师由相应管辖权限的单位负责选派。</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第十</w:t>
      </w:r>
      <w:r>
        <w:rPr>
          <w:rFonts w:hint="eastAsia" w:ascii="Arial" w:hAnsi="Arial" w:eastAsia="仿宋_GB2312" w:cs="Arial"/>
          <w:b/>
          <w:bCs/>
          <w:kern w:val="2"/>
          <w:sz w:val="30"/>
          <w:szCs w:val="30"/>
          <w:lang w:val="en-US" w:eastAsia="zh-CN"/>
        </w:rPr>
        <w:t>六</w:t>
      </w:r>
      <w:r>
        <w:rPr>
          <w:rFonts w:hint="eastAsia" w:ascii="Arial" w:hAnsi="Arial" w:eastAsia="仿宋_GB2312" w:cs="Arial"/>
          <w:b/>
          <w:bCs/>
          <w:kern w:val="2"/>
          <w:sz w:val="30"/>
          <w:szCs w:val="30"/>
        </w:rPr>
        <w:t>条</w:t>
      </w:r>
      <w:r>
        <w:rPr>
          <w:rFonts w:ascii="Arial" w:hAnsi="Arial" w:eastAsia="仿宋_GB2312" w:cs="Arial"/>
          <w:kern w:val="2"/>
          <w:sz w:val="30"/>
          <w:szCs w:val="30"/>
        </w:rPr>
        <w:t xml:space="preserve">  </w:t>
      </w:r>
      <w:r>
        <w:rPr>
          <w:rFonts w:hint="eastAsia" w:ascii="Arial" w:hAnsi="Arial" w:eastAsia="仿宋_GB2312" w:cs="Arial"/>
          <w:kern w:val="2"/>
          <w:sz w:val="30"/>
          <w:szCs w:val="30"/>
        </w:rPr>
        <w:t>开展裁判员等级培训时，无符合相应资质要求裁判员讲师的单位，须提前向中国田协或上一级协会组织相应管理部门（或裁判</w:t>
      </w:r>
      <w:r>
        <w:rPr>
          <w:rFonts w:hint="eastAsia" w:ascii="Arial" w:hAnsi="Arial" w:eastAsia="仿宋_GB2312" w:cs="Arial"/>
          <w:kern w:val="2"/>
          <w:sz w:val="30"/>
          <w:szCs w:val="30"/>
          <w:lang w:val="en-US" w:eastAsia="zh-CN"/>
        </w:rPr>
        <w:t>员</w:t>
      </w:r>
      <w:r>
        <w:rPr>
          <w:rFonts w:hint="eastAsia" w:ascii="Arial" w:hAnsi="Arial" w:eastAsia="仿宋_GB2312" w:cs="Arial"/>
          <w:kern w:val="2"/>
          <w:sz w:val="30"/>
          <w:szCs w:val="30"/>
        </w:rPr>
        <w:t>委员会）申请选派符合资质要求的裁判员讲师</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被申请协会或组织应配合做好相关工作。</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第六章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工作准则</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第十</w:t>
      </w:r>
      <w:r>
        <w:rPr>
          <w:rFonts w:hint="eastAsia" w:ascii="Arial" w:hAnsi="Arial" w:eastAsia="仿宋_GB2312" w:cs="Arial"/>
          <w:b/>
          <w:bCs/>
          <w:kern w:val="2"/>
          <w:sz w:val="30"/>
          <w:szCs w:val="30"/>
          <w:lang w:val="en-US" w:eastAsia="zh-CN"/>
        </w:rPr>
        <w:t>七</w:t>
      </w:r>
      <w:r>
        <w:rPr>
          <w:rFonts w:hint="eastAsia" w:ascii="Arial" w:hAnsi="Arial" w:eastAsia="仿宋_GB2312" w:cs="Arial"/>
          <w:b/>
          <w:bCs/>
          <w:kern w:val="2"/>
          <w:sz w:val="30"/>
          <w:szCs w:val="30"/>
        </w:rPr>
        <w:t>条</w:t>
      </w:r>
      <w:r>
        <w:rPr>
          <w:rFonts w:ascii="Arial" w:hAnsi="Arial" w:eastAsia="仿宋_GB2312" w:cs="Arial"/>
          <w:kern w:val="2"/>
          <w:sz w:val="30"/>
          <w:szCs w:val="30"/>
        </w:rPr>
        <w:t xml:space="preserve">  </w:t>
      </w:r>
      <w:r>
        <w:rPr>
          <w:rFonts w:hint="eastAsia" w:ascii="Arial" w:hAnsi="Arial" w:eastAsia="仿宋_GB2312" w:cs="Arial"/>
          <w:kern w:val="2"/>
          <w:sz w:val="30"/>
          <w:szCs w:val="30"/>
        </w:rPr>
        <w:t>裁判员讲师</w:t>
      </w:r>
      <w:r>
        <w:rPr>
          <w:rFonts w:hint="eastAsia" w:ascii="Arial" w:hAnsi="Arial" w:eastAsia="仿宋_GB2312" w:cs="Arial"/>
          <w:kern w:val="2"/>
          <w:sz w:val="30"/>
          <w:szCs w:val="30"/>
          <w:lang w:val="en-US" w:eastAsia="zh-CN"/>
        </w:rPr>
        <w:t>应</w:t>
      </w:r>
      <w:r>
        <w:rPr>
          <w:rFonts w:hint="eastAsia" w:ascii="Arial" w:hAnsi="Arial" w:eastAsia="仿宋_GB2312" w:cs="Arial"/>
          <w:kern w:val="2"/>
          <w:sz w:val="30"/>
          <w:szCs w:val="30"/>
        </w:rPr>
        <w:t>严格遵守国家的法律、法规和社会道德规范</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遵守中国田协、各级田径主管部门、或经授权有相应资质的单位以及承办方的相关管理要求。</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w:t>
      </w:r>
      <w:r>
        <w:rPr>
          <w:rFonts w:hint="eastAsia" w:ascii="Arial" w:hAnsi="Arial" w:eastAsia="仿宋_GB2312" w:cs="Arial"/>
          <w:b/>
          <w:bCs/>
          <w:kern w:val="2"/>
          <w:sz w:val="30"/>
          <w:szCs w:val="30"/>
          <w:lang w:val="en-US" w:eastAsia="zh-CN"/>
        </w:rPr>
        <w:t>十八</w:t>
      </w:r>
      <w:r>
        <w:rPr>
          <w:rFonts w:hint="eastAsia" w:ascii="Arial" w:hAnsi="Arial" w:eastAsia="仿宋_GB2312" w:cs="Arial"/>
          <w:b/>
          <w:bCs/>
          <w:kern w:val="2"/>
          <w:sz w:val="30"/>
          <w:szCs w:val="30"/>
        </w:rPr>
        <w:t>条</w:t>
      </w:r>
      <w:r>
        <w:rPr>
          <w:rFonts w:ascii="Arial" w:hAnsi="Arial" w:eastAsia="仿宋_GB2312" w:cs="Arial"/>
          <w:b/>
          <w:bCs/>
          <w:kern w:val="2"/>
          <w:sz w:val="30"/>
          <w:szCs w:val="30"/>
        </w:rPr>
        <w:t xml:space="preserve"> </w:t>
      </w:r>
      <w:r>
        <w:rPr>
          <w:rFonts w:ascii="Arial" w:hAnsi="Arial" w:eastAsia="仿宋_GB2312" w:cs="Arial"/>
          <w:kern w:val="2"/>
          <w:sz w:val="30"/>
          <w:szCs w:val="30"/>
        </w:rPr>
        <w:t xml:space="preserve"> </w:t>
      </w:r>
      <w:r>
        <w:rPr>
          <w:rFonts w:hint="eastAsia" w:ascii="Arial" w:hAnsi="Arial" w:eastAsia="仿宋_GB2312" w:cs="Arial"/>
          <w:kern w:val="2"/>
          <w:sz w:val="30"/>
          <w:szCs w:val="30"/>
        </w:rPr>
        <w:t>积极采用现代化教学手段，严格执行《中国田径协会裁判员培训管理办法（试行）》，遵照《中国田径协会裁判员（晋级）培训大纲（试行）》，认真备课，规范教案，确保培训质量。</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w:t>
      </w:r>
      <w:r>
        <w:rPr>
          <w:rFonts w:hint="eastAsia" w:ascii="Arial" w:hAnsi="Arial" w:eastAsia="仿宋_GB2312" w:cs="Arial"/>
          <w:b/>
          <w:bCs/>
          <w:kern w:val="2"/>
          <w:sz w:val="30"/>
          <w:szCs w:val="30"/>
          <w:lang w:val="en-US" w:eastAsia="zh-CN"/>
        </w:rPr>
        <w:t>十九</w:t>
      </w:r>
      <w:r>
        <w:rPr>
          <w:rFonts w:hint="eastAsia" w:ascii="Arial" w:hAnsi="Arial" w:eastAsia="仿宋_GB2312" w:cs="Arial"/>
          <w:b/>
          <w:bCs/>
          <w:kern w:val="2"/>
          <w:sz w:val="30"/>
          <w:szCs w:val="30"/>
        </w:rPr>
        <w:t>条</w:t>
      </w:r>
      <w:r>
        <w:rPr>
          <w:rFonts w:hint="eastAsia" w:ascii="Arial" w:hAnsi="Arial" w:eastAsia="仿宋_GB2312" w:cs="Arial"/>
          <w:kern w:val="2"/>
          <w:sz w:val="30"/>
          <w:szCs w:val="30"/>
        </w:rPr>
        <w:t xml:space="preserve"> </w:t>
      </w:r>
      <w:r>
        <w:rPr>
          <w:rFonts w:ascii="Arial" w:hAnsi="Arial" w:eastAsia="仿宋_GB2312" w:cs="Arial"/>
          <w:kern w:val="2"/>
          <w:sz w:val="30"/>
          <w:szCs w:val="30"/>
        </w:rPr>
        <w:t xml:space="preserve"> </w:t>
      </w:r>
      <w:r>
        <w:rPr>
          <w:rFonts w:hint="eastAsia" w:ascii="Arial" w:hAnsi="Arial" w:eastAsia="仿宋_GB2312" w:cs="Arial"/>
          <w:kern w:val="2"/>
          <w:sz w:val="30"/>
          <w:szCs w:val="30"/>
        </w:rPr>
        <w:t>培训要与世界田联、中国田协要求和倡导的教学方式保持一致</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教学过程中，严格考勤，严格考核。</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第二十条</w:t>
      </w:r>
      <w:r>
        <w:rPr>
          <w:rFonts w:ascii="Arial" w:hAnsi="Arial" w:eastAsia="仿宋_GB2312" w:cs="Arial"/>
          <w:b/>
          <w:bCs/>
          <w:kern w:val="2"/>
          <w:sz w:val="30"/>
          <w:szCs w:val="30"/>
        </w:rPr>
        <w:t xml:space="preserve"> </w:t>
      </w:r>
      <w:r>
        <w:rPr>
          <w:rFonts w:ascii="Arial" w:hAnsi="Arial" w:eastAsia="仿宋_GB2312" w:cs="Arial"/>
          <w:kern w:val="2"/>
          <w:sz w:val="30"/>
          <w:szCs w:val="30"/>
        </w:rPr>
        <w:t xml:space="preserve">  </w:t>
      </w:r>
      <w:r>
        <w:rPr>
          <w:rFonts w:hint="eastAsia" w:ascii="Arial" w:hAnsi="Arial" w:eastAsia="仿宋_GB2312" w:cs="Arial"/>
          <w:kern w:val="2"/>
          <w:sz w:val="30"/>
          <w:szCs w:val="30"/>
        </w:rPr>
        <w:t>努力提高培训班教学效果，确保考核环节公正、规范、严格、严谨。在培训结束后向中国田协、各级田径主管部门、或经授权有相应资质的单位如实报告和反馈培训情况、考核成绩及培训相关文件，并提出改进培训的建议。</w:t>
      </w:r>
    </w:p>
    <w:p>
      <w:pPr>
        <w:pStyle w:val="5"/>
        <w:shd w:val="clear" w:color="auto" w:fill="FFFFFF"/>
        <w:tabs>
          <w:tab w:val="left" w:pos="8280"/>
        </w:tabs>
        <w:spacing w:before="0" w:beforeAutospacing="0" w:after="0" w:afterAutospacing="0"/>
        <w:ind w:right="26" w:rightChars="12" w:firstLine="602" w:firstLineChars="200"/>
        <w:rPr>
          <w:rFonts w:ascii="Arial" w:hAnsi="Arial" w:eastAsia="仿宋_GB2312" w:cs="Arial"/>
          <w:kern w:val="2"/>
          <w:sz w:val="30"/>
          <w:szCs w:val="30"/>
        </w:rPr>
      </w:pPr>
      <w:r>
        <w:rPr>
          <w:rFonts w:hint="eastAsia" w:ascii="Arial" w:hAnsi="Arial" w:eastAsia="仿宋_GB2312" w:cs="Arial"/>
          <w:b/>
          <w:bCs/>
          <w:kern w:val="2"/>
          <w:sz w:val="30"/>
          <w:szCs w:val="30"/>
        </w:rPr>
        <w:t>第二十</w:t>
      </w:r>
      <w:r>
        <w:rPr>
          <w:rFonts w:hint="eastAsia" w:ascii="Arial" w:hAnsi="Arial" w:eastAsia="仿宋_GB2312" w:cs="Arial"/>
          <w:b/>
          <w:bCs/>
          <w:kern w:val="2"/>
          <w:sz w:val="30"/>
          <w:szCs w:val="30"/>
          <w:lang w:val="en-US" w:eastAsia="zh-CN"/>
        </w:rPr>
        <w:t>一</w:t>
      </w:r>
      <w:r>
        <w:rPr>
          <w:rFonts w:hint="eastAsia" w:ascii="Arial" w:hAnsi="Arial" w:eastAsia="仿宋_GB2312" w:cs="Arial"/>
          <w:b/>
          <w:bCs/>
          <w:kern w:val="2"/>
          <w:sz w:val="30"/>
          <w:szCs w:val="30"/>
        </w:rPr>
        <w:t xml:space="preserve">条 </w:t>
      </w:r>
      <w:r>
        <w:rPr>
          <w:rFonts w:hint="eastAsia" w:ascii="Arial" w:hAnsi="Arial" w:eastAsia="仿宋_GB2312" w:cs="Arial"/>
          <w:kern w:val="2"/>
          <w:sz w:val="30"/>
          <w:szCs w:val="30"/>
        </w:rPr>
        <w:t xml:space="preserve">  裁判员讲师</w:t>
      </w:r>
      <w:r>
        <w:rPr>
          <w:rFonts w:hint="eastAsia" w:ascii="Arial" w:hAnsi="Arial" w:eastAsia="仿宋_GB2312" w:cs="Arial"/>
          <w:kern w:val="2"/>
          <w:sz w:val="30"/>
          <w:szCs w:val="30"/>
          <w:lang w:val="en-US" w:eastAsia="zh-CN"/>
        </w:rPr>
        <w:t>应</w:t>
      </w:r>
      <w:r>
        <w:rPr>
          <w:rFonts w:hint="eastAsia" w:ascii="Arial" w:hAnsi="Arial" w:eastAsia="仿宋_GB2312" w:cs="Arial"/>
          <w:kern w:val="2"/>
          <w:sz w:val="30"/>
          <w:szCs w:val="30"/>
        </w:rPr>
        <w:t>努力</w:t>
      </w:r>
      <w:r>
        <w:rPr>
          <w:rFonts w:hint="eastAsia" w:ascii="Arial" w:hAnsi="Arial" w:eastAsia="仿宋_GB2312" w:cs="Arial"/>
          <w:kern w:val="2"/>
          <w:sz w:val="30"/>
          <w:szCs w:val="30"/>
          <w:lang w:val="en-US" w:eastAsia="zh-CN"/>
        </w:rPr>
        <w:t>提升</w:t>
      </w:r>
      <w:r>
        <w:rPr>
          <w:rFonts w:hint="eastAsia" w:ascii="Arial" w:hAnsi="Arial" w:eastAsia="仿宋_GB2312" w:cs="Arial"/>
          <w:kern w:val="2"/>
          <w:sz w:val="30"/>
          <w:szCs w:val="30"/>
        </w:rPr>
        <w:t>自身修养，</w:t>
      </w:r>
      <w:r>
        <w:rPr>
          <w:rFonts w:hint="eastAsia" w:ascii="Arial" w:hAnsi="Arial" w:eastAsia="仿宋_GB2312" w:cs="Arial"/>
          <w:kern w:val="2"/>
          <w:sz w:val="30"/>
          <w:szCs w:val="30"/>
          <w:lang w:val="en-US" w:eastAsia="zh-CN"/>
        </w:rPr>
        <w:t>始终展现</w:t>
      </w:r>
      <w:r>
        <w:rPr>
          <w:rFonts w:hint="eastAsia" w:ascii="Arial" w:hAnsi="Arial" w:eastAsia="仿宋_GB2312" w:cs="Arial"/>
          <w:kern w:val="2"/>
          <w:sz w:val="30"/>
          <w:szCs w:val="30"/>
        </w:rPr>
        <w:t>良好的职业道德和敬业精神，严于律己、坚持原则、顾全大局，自觉抵制各种不正之风，自觉遵守各项规章制度。</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第七章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工作程序</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第二十</w:t>
      </w:r>
      <w:r>
        <w:rPr>
          <w:rFonts w:hint="eastAsia" w:ascii="Arial" w:hAnsi="Arial" w:eastAsia="仿宋_GB2312" w:cs="Arial"/>
          <w:b/>
          <w:bCs/>
          <w:kern w:val="2"/>
          <w:sz w:val="30"/>
          <w:szCs w:val="30"/>
          <w:lang w:val="en-US" w:eastAsia="zh-CN"/>
        </w:rPr>
        <w:t>二</w:t>
      </w:r>
      <w:r>
        <w:rPr>
          <w:rFonts w:hint="eastAsia" w:ascii="Arial" w:hAnsi="Arial" w:eastAsia="仿宋_GB2312" w:cs="Arial"/>
          <w:b/>
          <w:bCs/>
          <w:kern w:val="2"/>
          <w:sz w:val="30"/>
          <w:szCs w:val="30"/>
        </w:rPr>
        <w:t>条</w:t>
      </w:r>
      <w:r>
        <w:rPr>
          <w:rFonts w:ascii="Arial" w:hAnsi="Arial" w:eastAsia="仿宋_GB2312" w:cs="Arial"/>
          <w:kern w:val="2"/>
          <w:sz w:val="30"/>
          <w:szCs w:val="30"/>
        </w:rPr>
        <w:t xml:space="preserve">  </w:t>
      </w:r>
      <w:r>
        <w:rPr>
          <w:rFonts w:hint="eastAsia" w:ascii="Arial" w:hAnsi="Arial" w:eastAsia="仿宋_GB2312" w:cs="Arial"/>
          <w:kern w:val="2"/>
          <w:sz w:val="30"/>
          <w:szCs w:val="30"/>
        </w:rPr>
        <w:t>中国田协、各级田径主管部门、或经授权有相应资质的单位负责通知相关人选准备担任裁判员讲师工作。</w:t>
      </w:r>
    </w:p>
    <w:p>
      <w:pPr>
        <w:widowControl w:val="0"/>
        <w:adjustRightInd w:val="0"/>
        <w:snapToGrid w:val="0"/>
        <w:spacing w:after="0" w:line="360" w:lineRule="auto"/>
        <w:ind w:firstLine="602" w:firstLineChars="200"/>
        <w:jc w:val="both"/>
        <w:rPr>
          <w:rFonts w:hint="default" w:ascii="Arial" w:hAnsi="Arial" w:eastAsia="仿宋_GB2312" w:cs="Arial"/>
          <w:kern w:val="2"/>
          <w:sz w:val="30"/>
          <w:szCs w:val="30"/>
          <w:lang w:val="en-US" w:eastAsia="zh-CN"/>
        </w:rPr>
      </w:pPr>
      <w:r>
        <w:rPr>
          <w:rFonts w:hint="eastAsia" w:ascii="Arial" w:hAnsi="Arial" w:eastAsia="仿宋_GB2312" w:cs="Arial"/>
          <w:b/>
          <w:bCs/>
          <w:kern w:val="2"/>
          <w:sz w:val="30"/>
          <w:szCs w:val="30"/>
        </w:rPr>
        <w:t>第二十</w:t>
      </w:r>
      <w:r>
        <w:rPr>
          <w:rFonts w:hint="eastAsia" w:ascii="Arial" w:hAnsi="Arial" w:eastAsia="仿宋_GB2312" w:cs="Arial"/>
          <w:b/>
          <w:bCs/>
          <w:kern w:val="2"/>
          <w:sz w:val="30"/>
          <w:szCs w:val="30"/>
          <w:lang w:val="en-US" w:eastAsia="zh-CN"/>
        </w:rPr>
        <w:t>三</w:t>
      </w:r>
      <w:r>
        <w:rPr>
          <w:rFonts w:hint="eastAsia" w:ascii="Arial" w:hAnsi="Arial" w:eastAsia="仿宋_GB2312" w:cs="Arial"/>
          <w:b/>
          <w:bCs/>
          <w:kern w:val="2"/>
          <w:sz w:val="30"/>
          <w:szCs w:val="30"/>
        </w:rPr>
        <w:t>条</w:t>
      </w:r>
      <w:r>
        <w:rPr>
          <w:rFonts w:ascii="Arial" w:hAnsi="Arial" w:eastAsia="仿宋_GB2312" w:cs="Arial"/>
          <w:kern w:val="2"/>
          <w:sz w:val="30"/>
          <w:szCs w:val="30"/>
        </w:rPr>
        <w:t xml:space="preserve">  </w:t>
      </w:r>
      <w:r>
        <w:rPr>
          <w:rFonts w:hint="eastAsia" w:ascii="Arial" w:hAnsi="Arial" w:eastAsia="仿宋_GB2312" w:cs="Arial"/>
          <w:kern w:val="2"/>
          <w:sz w:val="30"/>
          <w:szCs w:val="30"/>
        </w:rPr>
        <w:t>裁判员讲师根据《中国田径协会裁判员（晋级）培训大纲（试行）》要求制定培训教学计划，并</w:t>
      </w:r>
      <w:r>
        <w:rPr>
          <w:rFonts w:hint="eastAsia" w:ascii="Arial" w:hAnsi="Arial" w:eastAsia="仿宋_GB2312" w:cs="Arial"/>
          <w:kern w:val="2"/>
          <w:sz w:val="30"/>
          <w:szCs w:val="30"/>
          <w:lang w:val="en-US" w:eastAsia="zh-CN"/>
        </w:rPr>
        <w:t>与</w:t>
      </w:r>
      <w:r>
        <w:rPr>
          <w:rFonts w:hint="eastAsia" w:ascii="Arial" w:hAnsi="Arial" w:eastAsia="仿宋_GB2312" w:cs="Arial"/>
          <w:kern w:val="2"/>
          <w:sz w:val="30"/>
          <w:szCs w:val="30"/>
        </w:rPr>
        <w:t>培训承办方</w:t>
      </w:r>
      <w:r>
        <w:rPr>
          <w:rFonts w:hint="eastAsia" w:ascii="Arial" w:hAnsi="Arial" w:eastAsia="仿宋_GB2312" w:cs="Arial"/>
          <w:kern w:val="2"/>
          <w:sz w:val="30"/>
          <w:szCs w:val="30"/>
          <w:lang w:val="en-US" w:eastAsia="zh-CN"/>
        </w:rPr>
        <w:t>沟通确认后，将教学计划报告给中国田协或各级田径主管部门</w:t>
      </w:r>
      <w:r>
        <w:rPr>
          <w:rFonts w:hint="eastAsia" w:ascii="Arial" w:hAnsi="Arial" w:eastAsia="仿宋_GB2312" w:cs="Arial"/>
          <w:kern w:val="2"/>
          <w:sz w:val="30"/>
          <w:szCs w:val="30"/>
        </w:rPr>
        <w:t>。</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第二十</w:t>
      </w:r>
      <w:r>
        <w:rPr>
          <w:rFonts w:hint="eastAsia" w:ascii="Arial" w:hAnsi="Arial" w:eastAsia="仿宋_GB2312" w:cs="Arial"/>
          <w:b/>
          <w:bCs/>
          <w:kern w:val="2"/>
          <w:sz w:val="30"/>
          <w:szCs w:val="30"/>
          <w:lang w:val="en-US" w:eastAsia="zh-CN"/>
        </w:rPr>
        <w:t>四</w:t>
      </w:r>
      <w:r>
        <w:rPr>
          <w:rFonts w:hint="eastAsia" w:ascii="Arial" w:hAnsi="Arial" w:eastAsia="仿宋_GB2312" w:cs="Arial"/>
          <w:b/>
          <w:bCs/>
          <w:kern w:val="2"/>
          <w:sz w:val="30"/>
          <w:szCs w:val="30"/>
        </w:rPr>
        <w:t>条</w:t>
      </w:r>
      <w:r>
        <w:rPr>
          <w:rFonts w:ascii="Arial" w:hAnsi="Arial" w:eastAsia="仿宋_GB2312" w:cs="Arial"/>
          <w:kern w:val="2"/>
          <w:sz w:val="30"/>
          <w:szCs w:val="30"/>
        </w:rPr>
        <w:t xml:space="preserve">  </w:t>
      </w:r>
      <w:r>
        <w:rPr>
          <w:rFonts w:hint="eastAsia" w:ascii="Arial" w:hAnsi="Arial" w:eastAsia="仿宋_GB2312" w:cs="Arial"/>
          <w:kern w:val="2"/>
          <w:sz w:val="30"/>
          <w:szCs w:val="30"/>
        </w:rPr>
        <w:t>裁判员讲师根据大纲要求准备</w:t>
      </w:r>
      <w:r>
        <w:rPr>
          <w:rFonts w:hint="eastAsia" w:ascii="Arial" w:hAnsi="Arial" w:eastAsia="仿宋_GB2312" w:cs="Arial"/>
          <w:kern w:val="2"/>
          <w:sz w:val="30"/>
          <w:szCs w:val="30"/>
          <w:lang w:val="en-US" w:eastAsia="zh-CN"/>
        </w:rPr>
        <w:t>培训教材和</w:t>
      </w:r>
      <w:r>
        <w:rPr>
          <w:rFonts w:hint="eastAsia" w:ascii="Arial" w:hAnsi="Arial" w:eastAsia="仿宋_GB2312" w:cs="Arial"/>
          <w:kern w:val="2"/>
          <w:sz w:val="30"/>
          <w:szCs w:val="30"/>
        </w:rPr>
        <w:t>考试相关材料，按照培训教学计划认真备课，按计划到达培训地点并确认培训场所的教室、场地及设备器材标准等准备情况。</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第二十</w:t>
      </w:r>
      <w:r>
        <w:rPr>
          <w:rFonts w:hint="eastAsia" w:ascii="Arial" w:hAnsi="Arial" w:eastAsia="仿宋_GB2312" w:cs="Arial"/>
          <w:b/>
          <w:bCs/>
          <w:kern w:val="2"/>
          <w:sz w:val="30"/>
          <w:szCs w:val="30"/>
          <w:lang w:val="en-US" w:eastAsia="zh-CN"/>
        </w:rPr>
        <w:t>五</w:t>
      </w:r>
      <w:r>
        <w:rPr>
          <w:rFonts w:hint="eastAsia" w:ascii="Arial" w:hAnsi="Arial" w:eastAsia="仿宋_GB2312" w:cs="Arial"/>
          <w:b/>
          <w:bCs/>
          <w:kern w:val="2"/>
          <w:sz w:val="30"/>
          <w:szCs w:val="30"/>
        </w:rPr>
        <w:t>条</w:t>
      </w:r>
      <w:r>
        <w:rPr>
          <w:rFonts w:ascii="Arial" w:hAnsi="Arial" w:eastAsia="仿宋_GB2312" w:cs="Arial"/>
          <w:kern w:val="2"/>
          <w:sz w:val="30"/>
          <w:szCs w:val="30"/>
        </w:rPr>
        <w:t xml:space="preserve">  </w:t>
      </w:r>
      <w:r>
        <w:rPr>
          <w:rFonts w:hint="eastAsia" w:ascii="Arial" w:hAnsi="Arial" w:eastAsia="仿宋_GB2312" w:cs="Arial"/>
          <w:kern w:val="2"/>
          <w:sz w:val="30"/>
          <w:szCs w:val="30"/>
        </w:rPr>
        <w:t>培训结束与中国田协、各级田径主管部门、或经授权有相应资质的单位、承办方沟通，及时反馈培训情况。</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第八章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考核与处罚</w:t>
      </w:r>
    </w:p>
    <w:p>
      <w:pPr>
        <w:pStyle w:val="5"/>
        <w:shd w:val="clear" w:color="auto" w:fill="FFFFFF"/>
        <w:tabs>
          <w:tab w:val="left" w:pos="8280"/>
        </w:tabs>
        <w:spacing w:before="0" w:beforeAutospacing="0" w:after="0" w:afterAutospacing="0"/>
        <w:ind w:right="26" w:rightChars="12" w:firstLine="602" w:firstLineChars="200"/>
        <w:rPr>
          <w:rFonts w:ascii="Arial" w:hAnsi="Arial" w:eastAsia="仿宋_GB2312" w:cs="Arial"/>
          <w:kern w:val="2"/>
          <w:sz w:val="30"/>
          <w:szCs w:val="30"/>
        </w:rPr>
      </w:pPr>
      <w:r>
        <w:rPr>
          <w:rFonts w:hint="eastAsia" w:ascii="Arial" w:hAnsi="Arial" w:eastAsia="仿宋_GB2312" w:cs="Arial"/>
          <w:b/>
          <w:bCs/>
          <w:kern w:val="2"/>
          <w:sz w:val="30"/>
          <w:szCs w:val="30"/>
        </w:rPr>
        <w:t>第二十</w:t>
      </w:r>
      <w:r>
        <w:rPr>
          <w:rFonts w:hint="eastAsia" w:ascii="Arial" w:hAnsi="Arial" w:eastAsia="仿宋_GB2312" w:cs="Arial"/>
          <w:b/>
          <w:bCs/>
          <w:kern w:val="2"/>
          <w:sz w:val="30"/>
          <w:szCs w:val="30"/>
          <w:lang w:val="en-US" w:eastAsia="zh-CN"/>
        </w:rPr>
        <w:t>六</w:t>
      </w:r>
      <w:r>
        <w:rPr>
          <w:rFonts w:hint="eastAsia" w:ascii="Arial" w:hAnsi="Arial" w:eastAsia="仿宋_GB2312" w:cs="Arial"/>
          <w:b/>
          <w:bCs/>
          <w:kern w:val="2"/>
          <w:sz w:val="30"/>
          <w:szCs w:val="30"/>
        </w:rPr>
        <w:t>条</w:t>
      </w:r>
      <w:r>
        <w:rPr>
          <w:rFonts w:hint="eastAsia" w:ascii="Arial" w:hAnsi="Arial" w:eastAsia="仿宋_GB2312" w:cs="Arial"/>
          <w:kern w:val="2"/>
          <w:sz w:val="30"/>
          <w:szCs w:val="30"/>
        </w:rPr>
        <w:t xml:space="preserve">   中国田协、各级田径主管部门、或经授权有相应资质的单位应至少每2年对本单位注册裁判员讲师进行工作考核。</w:t>
      </w:r>
    </w:p>
    <w:p>
      <w:pPr>
        <w:pStyle w:val="5"/>
        <w:shd w:val="clear" w:color="auto" w:fill="FFFFFF"/>
        <w:tabs>
          <w:tab w:val="left" w:pos="8280"/>
        </w:tabs>
        <w:spacing w:before="0" w:beforeAutospacing="0" w:after="0" w:afterAutospacing="0"/>
        <w:ind w:right="26" w:rightChars="12" w:firstLine="602" w:firstLineChars="200"/>
        <w:rPr>
          <w:rFonts w:ascii="Arial" w:hAnsi="Arial" w:eastAsia="仿宋_GB2312" w:cs="Arial"/>
          <w:kern w:val="2"/>
          <w:sz w:val="30"/>
          <w:szCs w:val="30"/>
        </w:rPr>
      </w:pPr>
      <w:r>
        <w:rPr>
          <w:rFonts w:hint="eastAsia" w:ascii="Arial" w:hAnsi="Arial" w:eastAsia="仿宋_GB2312" w:cs="Arial"/>
          <w:b/>
          <w:bCs/>
          <w:kern w:val="2"/>
          <w:sz w:val="30"/>
          <w:szCs w:val="30"/>
        </w:rPr>
        <w:t>第二十</w:t>
      </w:r>
      <w:r>
        <w:rPr>
          <w:rFonts w:hint="eastAsia" w:ascii="Arial" w:hAnsi="Arial" w:eastAsia="仿宋_GB2312" w:cs="Arial"/>
          <w:b/>
          <w:bCs/>
          <w:kern w:val="2"/>
          <w:sz w:val="30"/>
          <w:szCs w:val="30"/>
          <w:lang w:val="en-US" w:eastAsia="zh-CN"/>
        </w:rPr>
        <w:t>七</w:t>
      </w:r>
      <w:r>
        <w:rPr>
          <w:rFonts w:hint="eastAsia" w:ascii="Arial" w:hAnsi="Arial" w:eastAsia="仿宋_GB2312" w:cs="Arial"/>
          <w:b/>
          <w:bCs/>
          <w:kern w:val="2"/>
          <w:sz w:val="30"/>
          <w:szCs w:val="30"/>
        </w:rPr>
        <w:t xml:space="preserve">条 </w:t>
      </w:r>
      <w:r>
        <w:rPr>
          <w:rFonts w:hint="eastAsia" w:ascii="Arial" w:hAnsi="Arial" w:eastAsia="仿宋_GB2312" w:cs="Arial"/>
          <w:kern w:val="2"/>
          <w:sz w:val="30"/>
          <w:szCs w:val="30"/>
        </w:rPr>
        <w:t xml:space="preserve"> 中国田协、各级地方田径主管部门、或经授权有相应资质的单位，每两年应对本地区裁判员讲师进行至少1次业务学习与培训。</w:t>
      </w:r>
    </w:p>
    <w:p>
      <w:pPr>
        <w:pStyle w:val="5"/>
        <w:shd w:val="clear" w:color="auto" w:fill="FFFFFF"/>
        <w:tabs>
          <w:tab w:val="left" w:pos="8280"/>
        </w:tabs>
        <w:spacing w:before="0" w:beforeAutospacing="0" w:after="0" w:afterAutospacing="0"/>
        <w:ind w:right="26" w:rightChars="12" w:firstLine="606"/>
        <w:rPr>
          <w:rFonts w:ascii="Arial" w:hAnsi="Arial" w:eastAsia="仿宋_GB2312" w:cs="Arial"/>
          <w:kern w:val="2"/>
          <w:sz w:val="30"/>
          <w:szCs w:val="30"/>
        </w:rPr>
      </w:pPr>
      <w:r>
        <w:rPr>
          <w:rFonts w:hint="eastAsia" w:ascii="Arial" w:hAnsi="Arial" w:eastAsia="仿宋_GB2312" w:cs="Arial"/>
          <w:b/>
          <w:bCs/>
          <w:kern w:val="2"/>
          <w:sz w:val="30"/>
          <w:szCs w:val="30"/>
        </w:rPr>
        <w:t>第</w:t>
      </w:r>
      <w:r>
        <w:rPr>
          <w:rFonts w:hint="eastAsia" w:ascii="Arial" w:hAnsi="Arial" w:eastAsia="仿宋_GB2312" w:cs="Arial"/>
          <w:b/>
          <w:bCs/>
          <w:kern w:val="2"/>
          <w:sz w:val="30"/>
          <w:szCs w:val="30"/>
          <w:lang w:val="en-US" w:eastAsia="zh-CN"/>
        </w:rPr>
        <w:t>二十八</w:t>
      </w:r>
      <w:r>
        <w:rPr>
          <w:rFonts w:hint="eastAsia" w:ascii="Arial" w:hAnsi="Arial" w:eastAsia="仿宋_GB2312" w:cs="Arial"/>
          <w:b/>
          <w:bCs/>
          <w:kern w:val="2"/>
          <w:sz w:val="30"/>
          <w:szCs w:val="30"/>
        </w:rPr>
        <w:t xml:space="preserve">条 </w:t>
      </w:r>
      <w:r>
        <w:rPr>
          <w:rFonts w:hint="eastAsia" w:ascii="Arial" w:hAnsi="Arial" w:eastAsia="仿宋_GB2312" w:cs="Arial"/>
          <w:kern w:val="2"/>
          <w:sz w:val="30"/>
          <w:szCs w:val="30"/>
        </w:rPr>
        <w:t xml:space="preserve">  由中国田协、各级田径主管部门、或经授权有相应资质的单位，对违规违纪裁判员讲师做出处罚。如地方</w:t>
      </w:r>
      <w:r>
        <w:rPr>
          <w:rFonts w:hint="eastAsia" w:ascii="Arial" w:hAnsi="Arial" w:eastAsia="仿宋_GB2312" w:cs="Arial"/>
          <w:kern w:val="2"/>
          <w:sz w:val="30"/>
          <w:szCs w:val="30"/>
          <w:lang w:val="en-US" w:eastAsia="zh-CN"/>
        </w:rPr>
        <w:t>田径管理制度</w:t>
      </w:r>
      <w:r>
        <w:rPr>
          <w:rFonts w:hint="eastAsia" w:ascii="Arial" w:hAnsi="Arial" w:eastAsia="仿宋_GB2312" w:cs="Arial"/>
          <w:kern w:val="2"/>
          <w:sz w:val="30"/>
          <w:szCs w:val="30"/>
        </w:rPr>
        <w:t>不健全的，由当地政府体育主管部门向上级田径主管单位提出处罚意见，由上级田径主管单位对违规违纪讲师进行处罚。</w:t>
      </w:r>
    </w:p>
    <w:p>
      <w:pPr>
        <w:pStyle w:val="5"/>
        <w:shd w:val="clear" w:color="auto" w:fill="FFFFFF"/>
        <w:tabs>
          <w:tab w:val="left" w:pos="8280"/>
        </w:tabs>
        <w:spacing w:before="0" w:beforeAutospacing="0" w:after="0" w:afterAutospacing="0"/>
        <w:ind w:right="26" w:rightChars="12" w:firstLine="606"/>
        <w:rPr>
          <w:rFonts w:ascii="Arial" w:hAnsi="Arial" w:eastAsia="仿宋_GB2312" w:cs="Arial"/>
          <w:kern w:val="2"/>
          <w:sz w:val="30"/>
          <w:szCs w:val="30"/>
        </w:rPr>
      </w:pPr>
      <w:r>
        <w:rPr>
          <w:rFonts w:hint="eastAsia" w:ascii="Arial" w:hAnsi="Arial" w:eastAsia="仿宋_GB2312" w:cs="Arial"/>
          <w:b/>
          <w:bCs/>
          <w:kern w:val="2"/>
          <w:sz w:val="30"/>
          <w:szCs w:val="30"/>
        </w:rPr>
        <w:t>第</w:t>
      </w:r>
      <w:r>
        <w:rPr>
          <w:rFonts w:hint="eastAsia" w:ascii="Arial" w:hAnsi="Arial" w:eastAsia="仿宋_GB2312" w:cs="Arial"/>
          <w:b/>
          <w:bCs/>
          <w:kern w:val="2"/>
          <w:sz w:val="30"/>
          <w:szCs w:val="30"/>
          <w:lang w:val="en-US" w:eastAsia="zh-CN"/>
        </w:rPr>
        <w:t>二十九</w:t>
      </w:r>
      <w:r>
        <w:rPr>
          <w:rFonts w:hint="eastAsia" w:ascii="Arial" w:hAnsi="Arial" w:eastAsia="仿宋_GB2312" w:cs="Arial"/>
          <w:b/>
          <w:bCs/>
          <w:kern w:val="2"/>
          <w:sz w:val="30"/>
          <w:szCs w:val="30"/>
        </w:rPr>
        <w:t>条</w:t>
      </w:r>
      <w:r>
        <w:rPr>
          <w:rFonts w:hint="eastAsia" w:ascii="Arial" w:hAnsi="Arial" w:eastAsia="仿宋_GB2312" w:cs="Arial"/>
          <w:kern w:val="2"/>
          <w:sz w:val="30"/>
          <w:szCs w:val="30"/>
        </w:rPr>
        <w:t xml:space="preserve">   裁判员讲师有违反下列纪律的行为，应根据情节严重性给予相应纪律处分。纪律处分包括：通报批评、警告、降低裁判员讲师等级资格、暂停裁判员讲师等级资格、取消裁判员讲师资格。</w:t>
      </w:r>
    </w:p>
    <w:p>
      <w:pPr>
        <w:pStyle w:val="5"/>
        <w:shd w:val="clear" w:color="auto" w:fill="FFFFFF"/>
        <w:tabs>
          <w:tab w:val="left" w:pos="8280"/>
        </w:tabs>
        <w:spacing w:before="0" w:beforeAutospacing="0" w:after="0" w:afterAutospacing="0"/>
        <w:ind w:right="26" w:rightChars="12" w:firstLine="450" w:firstLineChars="150"/>
        <w:rPr>
          <w:rFonts w:ascii="Arial" w:hAnsi="Arial" w:eastAsia="仿宋_GB2312" w:cs="Arial"/>
          <w:kern w:val="2"/>
          <w:sz w:val="30"/>
          <w:szCs w:val="30"/>
        </w:rPr>
      </w:pPr>
      <w:r>
        <w:rPr>
          <w:rFonts w:hint="eastAsia" w:ascii="Arial" w:hAnsi="Arial" w:eastAsia="仿宋_GB2312" w:cs="Arial"/>
          <w:kern w:val="2"/>
          <w:sz w:val="30"/>
          <w:szCs w:val="30"/>
        </w:rPr>
        <w:t>（一）在裁判培训和考试中，违反《第六章行为准则》、考试环节违反考试纪律、有意漏题偏袒一方给培训考试造成不良社会影响和反应的；</w:t>
      </w:r>
    </w:p>
    <w:p>
      <w:pPr>
        <w:pStyle w:val="5"/>
        <w:shd w:val="clear" w:color="auto" w:fill="FFFFFF"/>
        <w:tabs>
          <w:tab w:val="left" w:pos="8280"/>
        </w:tabs>
        <w:spacing w:before="0" w:beforeAutospacing="0" w:after="0" w:afterAutospacing="0"/>
        <w:ind w:right="26" w:rightChars="12" w:firstLine="450" w:firstLineChars="150"/>
        <w:rPr>
          <w:rFonts w:ascii="Arial" w:hAnsi="Arial" w:eastAsia="仿宋_GB2312" w:cs="Arial"/>
          <w:kern w:val="2"/>
          <w:sz w:val="30"/>
          <w:szCs w:val="30"/>
        </w:rPr>
      </w:pPr>
      <w:r>
        <w:rPr>
          <w:rFonts w:hint="eastAsia" w:ascii="Arial" w:hAnsi="Arial" w:eastAsia="仿宋_GB2312" w:cs="Arial"/>
          <w:kern w:val="2"/>
          <w:sz w:val="30"/>
          <w:szCs w:val="30"/>
        </w:rPr>
        <w:t>（二）在担任培训讲师期间，宣讲不良思想、酗酒滋事等不良行为；</w:t>
      </w:r>
    </w:p>
    <w:p>
      <w:pPr>
        <w:pStyle w:val="5"/>
        <w:shd w:val="clear" w:color="auto" w:fill="FFFFFF"/>
        <w:tabs>
          <w:tab w:val="left" w:pos="8280"/>
        </w:tabs>
        <w:spacing w:before="0" w:beforeAutospacing="0" w:after="0" w:afterAutospacing="0"/>
        <w:ind w:right="26" w:rightChars="12" w:firstLine="450" w:firstLineChars="150"/>
        <w:rPr>
          <w:rFonts w:hint="eastAsia" w:ascii="Arial" w:hAnsi="Arial" w:eastAsia="仿宋_GB2312" w:cs="Arial"/>
          <w:kern w:val="2"/>
          <w:sz w:val="30"/>
          <w:szCs w:val="30"/>
        </w:rPr>
      </w:pPr>
      <w:r>
        <w:rPr>
          <w:rFonts w:hint="eastAsia" w:ascii="Arial" w:hAnsi="Arial" w:eastAsia="仿宋_GB2312" w:cs="Arial"/>
          <w:kern w:val="2"/>
          <w:sz w:val="30"/>
          <w:szCs w:val="30"/>
        </w:rPr>
        <w:t>（三）收受礼金、礼物、有价证券等贿赂的；</w:t>
      </w:r>
    </w:p>
    <w:p>
      <w:pPr>
        <w:pStyle w:val="5"/>
        <w:shd w:val="clear" w:color="auto" w:fill="FFFFFF"/>
        <w:tabs>
          <w:tab w:val="left" w:pos="8280"/>
        </w:tabs>
        <w:spacing w:before="0" w:beforeAutospacing="0" w:after="0" w:afterAutospacing="0"/>
        <w:ind w:right="26" w:rightChars="12" w:firstLine="450" w:firstLineChars="150"/>
        <w:rPr>
          <w:rFonts w:ascii="Arial" w:hAnsi="Arial" w:eastAsia="仿宋_GB2312" w:cs="Arial"/>
          <w:b/>
          <w:bCs/>
          <w:kern w:val="2"/>
          <w:sz w:val="32"/>
          <w:szCs w:val="28"/>
        </w:rPr>
      </w:pPr>
      <w:r>
        <w:rPr>
          <w:rFonts w:hint="eastAsia" w:ascii="Arial" w:hAnsi="Arial" w:eastAsia="仿宋_GB2312" w:cs="Arial"/>
          <w:kern w:val="2"/>
          <w:sz w:val="30"/>
          <w:szCs w:val="30"/>
        </w:rPr>
        <w:t>（四）在各等级裁判员培训、考试、认证等环节收受各种形式贿赂和泄露相关机密，影响裁判员资格认证考试公正性的各种行为。</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第九章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附则</w:t>
      </w:r>
    </w:p>
    <w:p>
      <w:pPr>
        <w:pStyle w:val="5"/>
        <w:shd w:val="clear" w:color="auto" w:fill="FFFFFF"/>
        <w:tabs>
          <w:tab w:val="left" w:pos="8280"/>
        </w:tabs>
        <w:spacing w:before="0" w:beforeAutospacing="0" w:after="0" w:afterAutospacing="0"/>
        <w:ind w:right="26" w:rightChars="12" w:firstLine="590" w:firstLineChars="196"/>
        <w:jc w:val="both"/>
        <w:rPr>
          <w:rFonts w:ascii="Arial" w:hAnsi="Arial" w:eastAsia="仿宋_GB2312" w:cs="Arial"/>
          <w:kern w:val="2"/>
          <w:sz w:val="30"/>
          <w:szCs w:val="30"/>
        </w:rPr>
      </w:pPr>
      <w:r>
        <w:rPr>
          <w:rFonts w:hint="eastAsia" w:ascii="Arial" w:hAnsi="Arial" w:eastAsia="仿宋_GB2312" w:cs="Arial"/>
          <w:b/>
          <w:bCs/>
          <w:kern w:val="2"/>
          <w:sz w:val="30"/>
          <w:szCs w:val="30"/>
        </w:rPr>
        <w:t xml:space="preserve">第三十条 </w:t>
      </w:r>
      <w:r>
        <w:rPr>
          <w:rFonts w:ascii="Arial" w:hAnsi="Arial" w:eastAsia="仿宋_GB2312" w:cs="Arial"/>
          <w:kern w:val="2"/>
          <w:sz w:val="30"/>
          <w:szCs w:val="30"/>
        </w:rPr>
        <w:t xml:space="preserve"> </w:t>
      </w:r>
      <w:r>
        <w:rPr>
          <w:rFonts w:hint="eastAsia" w:ascii="Arial" w:hAnsi="Arial" w:eastAsia="仿宋_GB2312" w:cs="Arial"/>
          <w:kern w:val="2"/>
          <w:sz w:val="30"/>
          <w:szCs w:val="30"/>
        </w:rPr>
        <w:t>各级田径主管部门、或经授权有相应资质的单位，可参照本细则制定相应的裁判员讲师管理办法及实施细则，并向社会公布与实施。</w:t>
      </w:r>
    </w:p>
    <w:p>
      <w:pPr>
        <w:widowControl w:val="0"/>
        <w:adjustRightInd w:val="0"/>
        <w:snapToGrid w:val="0"/>
        <w:spacing w:after="0" w:line="360" w:lineRule="auto"/>
        <w:ind w:firstLine="602" w:firstLineChars="200"/>
        <w:jc w:val="both"/>
        <w:rPr>
          <w:rFonts w:ascii="Arial" w:hAnsi="Arial" w:eastAsia="仿宋_GB2312" w:cs="Arial"/>
          <w:kern w:val="2"/>
          <w:sz w:val="30"/>
          <w:szCs w:val="30"/>
        </w:rPr>
      </w:pPr>
      <w:r>
        <w:rPr>
          <w:rFonts w:hint="eastAsia" w:ascii="Arial" w:hAnsi="Arial" w:eastAsia="仿宋_GB2312" w:cs="Arial"/>
          <w:b/>
          <w:bCs/>
          <w:kern w:val="2"/>
          <w:sz w:val="30"/>
          <w:szCs w:val="30"/>
        </w:rPr>
        <w:t>第三十</w:t>
      </w:r>
      <w:r>
        <w:rPr>
          <w:rFonts w:hint="eastAsia" w:ascii="Arial" w:hAnsi="Arial" w:eastAsia="仿宋_GB2312" w:cs="Arial"/>
          <w:b/>
          <w:bCs/>
          <w:kern w:val="2"/>
          <w:sz w:val="30"/>
          <w:szCs w:val="30"/>
          <w:lang w:val="en-US" w:eastAsia="zh-CN"/>
        </w:rPr>
        <w:t>一</w:t>
      </w:r>
      <w:r>
        <w:rPr>
          <w:rFonts w:hint="eastAsia" w:ascii="Arial" w:hAnsi="Arial" w:eastAsia="仿宋_GB2312" w:cs="Arial"/>
          <w:b/>
          <w:bCs/>
          <w:kern w:val="2"/>
          <w:sz w:val="30"/>
          <w:szCs w:val="30"/>
        </w:rPr>
        <w:t>条</w:t>
      </w:r>
      <w:r>
        <w:rPr>
          <w:rFonts w:hint="eastAsia" w:ascii="Arial" w:hAnsi="Arial" w:eastAsia="仿宋_GB2312" w:cs="Arial"/>
          <w:kern w:val="2"/>
          <w:sz w:val="30"/>
          <w:szCs w:val="30"/>
        </w:rPr>
        <w:t xml:space="preserve">   </w:t>
      </w:r>
      <w:r>
        <w:rPr>
          <w:rFonts w:hint="eastAsia" w:ascii="仿宋_GB2312" w:eastAsia="仿宋_GB2312"/>
          <w:sz w:val="32"/>
          <w:szCs w:val="32"/>
        </w:rPr>
        <w:t>本办法自公布之日起执行，解释权归中国田径协会所有。</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kYjMzMTkwMWUxOWExMjQ2NGQwYWJkMjUzMTZmYzgifQ=="/>
  </w:docVars>
  <w:rsids>
    <w:rsidRoot w:val="004B1F18"/>
    <w:rsid w:val="000017B1"/>
    <w:rsid w:val="00016F7F"/>
    <w:rsid w:val="0003108F"/>
    <w:rsid w:val="00045128"/>
    <w:rsid w:val="00054790"/>
    <w:rsid w:val="00055B13"/>
    <w:rsid w:val="00061144"/>
    <w:rsid w:val="000665B2"/>
    <w:rsid w:val="000771AE"/>
    <w:rsid w:val="00077299"/>
    <w:rsid w:val="00090770"/>
    <w:rsid w:val="00097B15"/>
    <w:rsid w:val="000A0CA9"/>
    <w:rsid w:val="000B12FA"/>
    <w:rsid w:val="000B3175"/>
    <w:rsid w:val="000C3E39"/>
    <w:rsid w:val="000D5A9C"/>
    <w:rsid w:val="000E060F"/>
    <w:rsid w:val="000F7C70"/>
    <w:rsid w:val="0011393B"/>
    <w:rsid w:val="00127BC1"/>
    <w:rsid w:val="00133DF5"/>
    <w:rsid w:val="00167CF0"/>
    <w:rsid w:val="001D19A0"/>
    <w:rsid w:val="001E1107"/>
    <w:rsid w:val="001E4897"/>
    <w:rsid w:val="001E6908"/>
    <w:rsid w:val="001F07DF"/>
    <w:rsid w:val="001F2E08"/>
    <w:rsid w:val="00200440"/>
    <w:rsid w:val="002036DE"/>
    <w:rsid w:val="00207A3A"/>
    <w:rsid w:val="00212DD9"/>
    <w:rsid w:val="00232D3A"/>
    <w:rsid w:val="00247F5D"/>
    <w:rsid w:val="00253F8B"/>
    <w:rsid w:val="002633A3"/>
    <w:rsid w:val="00266E1A"/>
    <w:rsid w:val="00267EE4"/>
    <w:rsid w:val="00291738"/>
    <w:rsid w:val="002A703A"/>
    <w:rsid w:val="002C1B6F"/>
    <w:rsid w:val="002D3EFA"/>
    <w:rsid w:val="002F0AA5"/>
    <w:rsid w:val="0032279C"/>
    <w:rsid w:val="003264FE"/>
    <w:rsid w:val="00334C22"/>
    <w:rsid w:val="003572E0"/>
    <w:rsid w:val="003721EF"/>
    <w:rsid w:val="00376A8B"/>
    <w:rsid w:val="0038466C"/>
    <w:rsid w:val="0039372C"/>
    <w:rsid w:val="0039420A"/>
    <w:rsid w:val="00397C82"/>
    <w:rsid w:val="003A0D9D"/>
    <w:rsid w:val="003A30A2"/>
    <w:rsid w:val="003B41F3"/>
    <w:rsid w:val="003F63FD"/>
    <w:rsid w:val="003F757E"/>
    <w:rsid w:val="004012DE"/>
    <w:rsid w:val="00403042"/>
    <w:rsid w:val="004121F0"/>
    <w:rsid w:val="004134B1"/>
    <w:rsid w:val="004158E2"/>
    <w:rsid w:val="0041716A"/>
    <w:rsid w:val="00441193"/>
    <w:rsid w:val="00456AE3"/>
    <w:rsid w:val="00466ED5"/>
    <w:rsid w:val="0046760A"/>
    <w:rsid w:val="004B1F18"/>
    <w:rsid w:val="004C5EDA"/>
    <w:rsid w:val="004D2346"/>
    <w:rsid w:val="004D2616"/>
    <w:rsid w:val="00503EFC"/>
    <w:rsid w:val="00503F76"/>
    <w:rsid w:val="0051363D"/>
    <w:rsid w:val="00516D1E"/>
    <w:rsid w:val="005205E9"/>
    <w:rsid w:val="00530BDA"/>
    <w:rsid w:val="00541121"/>
    <w:rsid w:val="00546991"/>
    <w:rsid w:val="00573EF8"/>
    <w:rsid w:val="00580548"/>
    <w:rsid w:val="00583EF2"/>
    <w:rsid w:val="00595851"/>
    <w:rsid w:val="005A38D8"/>
    <w:rsid w:val="005D1730"/>
    <w:rsid w:val="005E1621"/>
    <w:rsid w:val="005E57D5"/>
    <w:rsid w:val="00623BA7"/>
    <w:rsid w:val="00637151"/>
    <w:rsid w:val="006429FA"/>
    <w:rsid w:val="00650B95"/>
    <w:rsid w:val="00651208"/>
    <w:rsid w:val="00656E4C"/>
    <w:rsid w:val="006678FE"/>
    <w:rsid w:val="00670A83"/>
    <w:rsid w:val="00671A0A"/>
    <w:rsid w:val="00684D2B"/>
    <w:rsid w:val="006A2993"/>
    <w:rsid w:val="006B3FBC"/>
    <w:rsid w:val="006C1D7A"/>
    <w:rsid w:val="006F4FB8"/>
    <w:rsid w:val="00700BAD"/>
    <w:rsid w:val="00701CB5"/>
    <w:rsid w:val="007227DE"/>
    <w:rsid w:val="00725C56"/>
    <w:rsid w:val="0073200C"/>
    <w:rsid w:val="00751000"/>
    <w:rsid w:val="00757033"/>
    <w:rsid w:val="007708F3"/>
    <w:rsid w:val="00784AF2"/>
    <w:rsid w:val="007879C3"/>
    <w:rsid w:val="00794B92"/>
    <w:rsid w:val="007956C4"/>
    <w:rsid w:val="007A0CD1"/>
    <w:rsid w:val="007C253A"/>
    <w:rsid w:val="007C30E5"/>
    <w:rsid w:val="007D6F66"/>
    <w:rsid w:val="007E53DD"/>
    <w:rsid w:val="008041D3"/>
    <w:rsid w:val="00813D45"/>
    <w:rsid w:val="008274A2"/>
    <w:rsid w:val="0083452C"/>
    <w:rsid w:val="008554CA"/>
    <w:rsid w:val="00867C98"/>
    <w:rsid w:val="008735E2"/>
    <w:rsid w:val="00884CD1"/>
    <w:rsid w:val="00885D62"/>
    <w:rsid w:val="008916AE"/>
    <w:rsid w:val="00892B8D"/>
    <w:rsid w:val="008C42EB"/>
    <w:rsid w:val="008C5D3C"/>
    <w:rsid w:val="008D2C42"/>
    <w:rsid w:val="008D392F"/>
    <w:rsid w:val="008E2D09"/>
    <w:rsid w:val="008E64EF"/>
    <w:rsid w:val="008E7A49"/>
    <w:rsid w:val="00902BCA"/>
    <w:rsid w:val="00950CA4"/>
    <w:rsid w:val="009661F4"/>
    <w:rsid w:val="009964F4"/>
    <w:rsid w:val="009A3CC5"/>
    <w:rsid w:val="009B34F3"/>
    <w:rsid w:val="009B47B7"/>
    <w:rsid w:val="009B5768"/>
    <w:rsid w:val="009C6050"/>
    <w:rsid w:val="009E2A28"/>
    <w:rsid w:val="009E4864"/>
    <w:rsid w:val="009F6F6A"/>
    <w:rsid w:val="009F6FF6"/>
    <w:rsid w:val="00A12773"/>
    <w:rsid w:val="00A12A92"/>
    <w:rsid w:val="00A1750E"/>
    <w:rsid w:val="00A22171"/>
    <w:rsid w:val="00A31FFA"/>
    <w:rsid w:val="00A416B1"/>
    <w:rsid w:val="00A53BC6"/>
    <w:rsid w:val="00A54A35"/>
    <w:rsid w:val="00A5571B"/>
    <w:rsid w:val="00A56622"/>
    <w:rsid w:val="00A70FDD"/>
    <w:rsid w:val="00A73BED"/>
    <w:rsid w:val="00A745D6"/>
    <w:rsid w:val="00A80AEC"/>
    <w:rsid w:val="00A84648"/>
    <w:rsid w:val="00A95725"/>
    <w:rsid w:val="00AA5506"/>
    <w:rsid w:val="00AB4A99"/>
    <w:rsid w:val="00AE09AF"/>
    <w:rsid w:val="00AF2DE1"/>
    <w:rsid w:val="00AF5BAE"/>
    <w:rsid w:val="00B16A70"/>
    <w:rsid w:val="00B17B21"/>
    <w:rsid w:val="00B321E0"/>
    <w:rsid w:val="00B46D47"/>
    <w:rsid w:val="00B53C8B"/>
    <w:rsid w:val="00B74BAB"/>
    <w:rsid w:val="00B81077"/>
    <w:rsid w:val="00B81E1C"/>
    <w:rsid w:val="00B86077"/>
    <w:rsid w:val="00B94E85"/>
    <w:rsid w:val="00BA0DC1"/>
    <w:rsid w:val="00BA4FFD"/>
    <w:rsid w:val="00BB4169"/>
    <w:rsid w:val="00BB79FA"/>
    <w:rsid w:val="00BC3C38"/>
    <w:rsid w:val="00C03270"/>
    <w:rsid w:val="00C05F20"/>
    <w:rsid w:val="00C15EFF"/>
    <w:rsid w:val="00C47D80"/>
    <w:rsid w:val="00C644D0"/>
    <w:rsid w:val="00C64A12"/>
    <w:rsid w:val="00CA0439"/>
    <w:rsid w:val="00CA15E9"/>
    <w:rsid w:val="00CB1D7A"/>
    <w:rsid w:val="00CE68B6"/>
    <w:rsid w:val="00D00D81"/>
    <w:rsid w:val="00D21F2C"/>
    <w:rsid w:val="00D23799"/>
    <w:rsid w:val="00D30407"/>
    <w:rsid w:val="00D418DF"/>
    <w:rsid w:val="00D77E44"/>
    <w:rsid w:val="00D933D7"/>
    <w:rsid w:val="00DF20C6"/>
    <w:rsid w:val="00E017CF"/>
    <w:rsid w:val="00E05F0C"/>
    <w:rsid w:val="00E17998"/>
    <w:rsid w:val="00E45A3A"/>
    <w:rsid w:val="00E470FE"/>
    <w:rsid w:val="00E518DB"/>
    <w:rsid w:val="00E60CA0"/>
    <w:rsid w:val="00E864CE"/>
    <w:rsid w:val="00E97A4C"/>
    <w:rsid w:val="00EA2615"/>
    <w:rsid w:val="00EA4A91"/>
    <w:rsid w:val="00EB04C9"/>
    <w:rsid w:val="00EB79BB"/>
    <w:rsid w:val="00EC02CD"/>
    <w:rsid w:val="00ED41FC"/>
    <w:rsid w:val="00ED7E46"/>
    <w:rsid w:val="00EE740B"/>
    <w:rsid w:val="00F15563"/>
    <w:rsid w:val="00F25A34"/>
    <w:rsid w:val="00F27172"/>
    <w:rsid w:val="00F359B5"/>
    <w:rsid w:val="00F42760"/>
    <w:rsid w:val="00F4353D"/>
    <w:rsid w:val="00F54160"/>
    <w:rsid w:val="00F7538C"/>
    <w:rsid w:val="00F9381C"/>
    <w:rsid w:val="00FA2C21"/>
    <w:rsid w:val="00FA2CC0"/>
    <w:rsid w:val="00FB4446"/>
    <w:rsid w:val="00FD2A20"/>
    <w:rsid w:val="00FD7067"/>
    <w:rsid w:val="00FE5D9F"/>
    <w:rsid w:val="00FF0615"/>
    <w:rsid w:val="00FF0D60"/>
    <w:rsid w:val="00FF1EDD"/>
    <w:rsid w:val="00FF5E26"/>
    <w:rsid w:val="0F0F11BE"/>
    <w:rsid w:val="15E85ECE"/>
    <w:rsid w:val="23AF3003"/>
    <w:rsid w:val="25613DF1"/>
    <w:rsid w:val="28697BB2"/>
    <w:rsid w:val="35164872"/>
    <w:rsid w:val="39E71A65"/>
    <w:rsid w:val="3FEC2149"/>
    <w:rsid w:val="48AA2439"/>
    <w:rsid w:val="4ABA262A"/>
    <w:rsid w:val="4E6323B1"/>
    <w:rsid w:val="6A6C288C"/>
    <w:rsid w:val="6C8374B6"/>
    <w:rsid w:val="73710E0F"/>
    <w:rsid w:val="74BC456F"/>
    <w:rsid w:val="761E45C2"/>
    <w:rsid w:val="76BD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Times New Roman"/>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er"/>
    <w:basedOn w:val="1"/>
    <w:semiHidden/>
    <w:unhideWhenUsed/>
    <w:qFormat/>
    <w:uiPriority w:val="99"/>
    <w:pPr>
      <w:tabs>
        <w:tab w:val="center" w:pos="4153"/>
        <w:tab w:val="right" w:pos="8306"/>
      </w:tabs>
      <w:snapToGrid w:val="0"/>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5">
    <w:name w:val="Normal (Web)"/>
    <w:basedOn w:val="1"/>
    <w:qFormat/>
    <w:uiPriority w:val="99"/>
    <w:pPr>
      <w:spacing w:before="100" w:beforeAutospacing="1" w:after="100" w:afterAutospacing="1" w:line="240" w:lineRule="auto"/>
    </w:pPr>
    <w:rPr>
      <w:rFonts w:ascii="宋体" w:hAnsi="宋体" w:cs="宋体"/>
      <w:sz w:val="24"/>
      <w:szCs w:val="24"/>
    </w:rPr>
  </w:style>
  <w:style w:type="paragraph" w:customStyle="1" w:styleId="8">
    <w:name w:val="Revision"/>
    <w:hidden/>
    <w:semiHidden/>
    <w:uiPriority w:val="99"/>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2627</Words>
  <Characters>2629</Characters>
  <Lines>20</Lines>
  <Paragraphs>5</Paragraphs>
  <TotalTime>307</TotalTime>
  <ScaleCrop>false</ScaleCrop>
  <LinksUpToDate>false</LinksUpToDate>
  <CharactersWithSpaces>2713</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2023-01-08T01:06:00Z</dcterms:created>
  <dc:creator>pc</dc:creator>
  <cp:lastModifiedBy>陈正文Arthur</cp:lastModifiedBy>
  <dcterms:modified xsi:type="dcterms:W3CDTF">2023-01-28T07:38:43Z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0F1B5453CD824B078EBC3A8613327E40</vt:lpwstr>
  </property>
</Properties>
</file>