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180" w:afterAutospacing="0" w:line="432" w:lineRule="auto"/>
        <w:jc w:val="left"/>
      </w:pPr>
      <w:r>
        <w:rPr>
          <w:rStyle w:val="4"/>
          <w:rFonts w:hint="eastAsia" w:ascii="宋体" w:hAnsi="宋体" w:eastAsia="宋体" w:cs="宋体"/>
          <w:color w:val="333333"/>
          <w:sz w:val="24"/>
          <w:szCs w:val="24"/>
        </w:rPr>
        <w:t>附件</w:t>
      </w:r>
    </w:p>
    <w:p>
      <w:pPr>
        <w:pStyle w:val="2"/>
        <w:keepNext w:val="0"/>
        <w:keepLines w:val="0"/>
        <w:widowControl/>
        <w:suppressLineNumbers w:val="0"/>
        <w:spacing w:after="180" w:afterAutospacing="0" w:line="432" w:lineRule="auto"/>
        <w:jc w:val="center"/>
      </w:pPr>
      <w:r>
        <w:rPr>
          <w:rStyle w:val="4"/>
          <w:rFonts w:hint="eastAsia" w:ascii="宋体" w:hAnsi="宋体" w:eastAsia="宋体" w:cs="宋体"/>
          <w:color w:val="333333"/>
          <w:sz w:val="36"/>
          <w:szCs w:val="36"/>
        </w:rPr>
        <w:t>政策措施分工表</w:t>
      </w:r>
    </w:p>
    <w:tbl>
      <w:tblPr>
        <w:tblStyle w:val="5"/>
        <w:tblW w:w="8522" w:type="dxa"/>
        <w:jc w:val="center"/>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675"/>
        <w:gridCol w:w="6096"/>
        <w:gridCol w:w="1751"/>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宋体"/>
                <w:b/>
                <w:bCs w:val="0"/>
                <w:color w:val="333333"/>
                <w:kern w:val="0"/>
                <w:sz w:val="24"/>
                <w:szCs w:val="24"/>
                <w:lang w:val="en-US" w:eastAsia="zh-CN" w:bidi="ar"/>
              </w:rPr>
              <w:t>序号</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宋体"/>
                <w:b/>
                <w:bCs w:val="0"/>
                <w:color w:val="333333"/>
                <w:kern w:val="0"/>
                <w:sz w:val="24"/>
                <w:szCs w:val="24"/>
                <w:lang w:val="en-US" w:eastAsia="zh-CN" w:bidi="ar"/>
              </w:rPr>
              <w:t>工</w:t>
            </w:r>
            <w:r>
              <w:rPr>
                <w:rFonts w:hint="eastAsia" w:ascii="宋体" w:hAnsi="宋体" w:eastAsia="宋体" w:cs="宋体"/>
                <w:b/>
                <w:bCs w:val="0"/>
                <w:color w:val="333333"/>
                <w:kern w:val="0"/>
                <w:sz w:val="24"/>
                <w:szCs w:val="24"/>
                <w:lang w:val="en-US" w:eastAsia="zh-CN" w:bidi="ar"/>
              </w:rPr>
              <w:t xml:space="preserve"> </w:t>
            </w:r>
            <w:r>
              <w:rPr>
                <w:rFonts w:hint="eastAsia" w:ascii="Calibri" w:hAnsi="Calibri" w:eastAsia="宋体" w:cs="宋体"/>
                <w:b/>
                <w:bCs w:val="0"/>
                <w:color w:val="333333"/>
                <w:kern w:val="0"/>
                <w:sz w:val="24"/>
                <w:szCs w:val="24"/>
                <w:lang w:val="en-US" w:eastAsia="zh-CN" w:bidi="ar"/>
              </w:rPr>
              <w:t>作</w:t>
            </w:r>
            <w:r>
              <w:rPr>
                <w:rFonts w:hint="eastAsia" w:ascii="宋体" w:hAnsi="宋体" w:eastAsia="宋体" w:cs="宋体"/>
                <w:b/>
                <w:bCs w:val="0"/>
                <w:color w:val="333333"/>
                <w:kern w:val="0"/>
                <w:sz w:val="24"/>
                <w:szCs w:val="24"/>
                <w:lang w:val="en-US" w:eastAsia="zh-CN" w:bidi="ar"/>
              </w:rPr>
              <w:t xml:space="preserve"> </w:t>
            </w:r>
            <w:r>
              <w:rPr>
                <w:rFonts w:hint="eastAsia" w:ascii="Calibri" w:hAnsi="Calibri" w:eastAsia="宋体" w:cs="宋体"/>
                <w:b/>
                <w:bCs w:val="0"/>
                <w:color w:val="333333"/>
                <w:kern w:val="0"/>
                <w:sz w:val="24"/>
                <w:szCs w:val="24"/>
                <w:lang w:val="en-US" w:eastAsia="zh-CN" w:bidi="ar"/>
              </w:rPr>
              <w:t>任</w:t>
            </w:r>
            <w:r>
              <w:rPr>
                <w:rFonts w:hint="eastAsia" w:ascii="宋体" w:hAnsi="宋体" w:eastAsia="宋体" w:cs="宋体"/>
                <w:b/>
                <w:bCs w:val="0"/>
                <w:color w:val="333333"/>
                <w:kern w:val="0"/>
                <w:sz w:val="24"/>
                <w:szCs w:val="24"/>
                <w:lang w:val="en-US" w:eastAsia="zh-CN" w:bidi="ar"/>
              </w:rPr>
              <w:t xml:space="preserve"> </w:t>
            </w:r>
            <w:r>
              <w:rPr>
                <w:rFonts w:hint="eastAsia" w:ascii="Calibri" w:hAnsi="Calibri" w:eastAsia="宋体" w:cs="宋体"/>
                <w:b/>
                <w:bCs w:val="0"/>
                <w:color w:val="333333"/>
                <w:kern w:val="0"/>
                <w:sz w:val="24"/>
                <w:szCs w:val="24"/>
                <w:lang w:val="en-US" w:eastAsia="zh-CN" w:bidi="ar"/>
              </w:rPr>
              <w:t>务</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宋体"/>
                <w:b/>
                <w:bCs w:val="0"/>
                <w:color w:val="333333"/>
                <w:kern w:val="0"/>
                <w:sz w:val="24"/>
                <w:szCs w:val="24"/>
                <w:lang w:val="en-US" w:eastAsia="zh-CN" w:bidi="ar"/>
              </w:rPr>
              <w:t>负</w:t>
            </w:r>
            <w:r>
              <w:rPr>
                <w:rFonts w:hint="eastAsia" w:ascii="宋体" w:hAnsi="宋体" w:eastAsia="宋体" w:cs="宋体"/>
                <w:b/>
                <w:bCs w:val="0"/>
                <w:color w:val="333333"/>
                <w:kern w:val="0"/>
                <w:sz w:val="24"/>
                <w:szCs w:val="24"/>
                <w:lang w:val="en-US" w:eastAsia="zh-CN" w:bidi="ar"/>
              </w:rPr>
              <w:t xml:space="preserve"> </w:t>
            </w:r>
            <w:r>
              <w:rPr>
                <w:rFonts w:hint="eastAsia" w:ascii="Calibri" w:hAnsi="Calibri" w:eastAsia="宋体" w:cs="宋体"/>
                <w:b/>
                <w:bCs w:val="0"/>
                <w:color w:val="333333"/>
                <w:kern w:val="0"/>
                <w:sz w:val="24"/>
                <w:szCs w:val="24"/>
                <w:lang w:val="en-US" w:eastAsia="zh-CN" w:bidi="ar"/>
              </w:rPr>
              <w:t>责</w:t>
            </w:r>
            <w:r>
              <w:rPr>
                <w:rFonts w:hint="eastAsia" w:ascii="宋体" w:hAnsi="宋体" w:eastAsia="宋体" w:cs="宋体"/>
                <w:b/>
                <w:bCs w:val="0"/>
                <w:color w:val="333333"/>
                <w:kern w:val="0"/>
                <w:sz w:val="24"/>
                <w:szCs w:val="24"/>
                <w:lang w:val="en-US" w:eastAsia="zh-CN" w:bidi="ar"/>
              </w:rPr>
              <w:t xml:space="preserve"> </w:t>
            </w:r>
            <w:r>
              <w:rPr>
                <w:rFonts w:hint="eastAsia" w:ascii="Calibri" w:hAnsi="Calibri" w:eastAsia="宋体" w:cs="宋体"/>
                <w:b/>
                <w:bCs w:val="0"/>
                <w:color w:val="333333"/>
                <w:kern w:val="0"/>
                <w:sz w:val="24"/>
                <w:szCs w:val="24"/>
                <w:lang w:val="en-US" w:eastAsia="zh-CN" w:bidi="ar"/>
              </w:rPr>
              <w:t>部</w:t>
            </w:r>
            <w:r>
              <w:rPr>
                <w:rFonts w:hint="eastAsia" w:ascii="宋体" w:hAnsi="宋体" w:eastAsia="宋体" w:cs="宋体"/>
                <w:b/>
                <w:bCs w:val="0"/>
                <w:color w:val="333333"/>
                <w:kern w:val="0"/>
                <w:sz w:val="24"/>
                <w:szCs w:val="24"/>
                <w:lang w:val="en-US" w:eastAsia="zh-CN" w:bidi="ar"/>
              </w:rPr>
              <w:t xml:space="preserve"> </w:t>
            </w:r>
            <w:r>
              <w:rPr>
                <w:rFonts w:hint="eastAsia" w:ascii="Calibri" w:hAnsi="Calibri" w:eastAsia="宋体" w:cs="宋体"/>
                <w:b/>
                <w:bCs w:val="0"/>
                <w:color w:val="333333"/>
                <w:kern w:val="0"/>
                <w:sz w:val="24"/>
                <w:szCs w:val="24"/>
                <w:lang w:val="en-US" w:eastAsia="zh-CN" w:bidi="ar"/>
              </w:rPr>
              <w:t>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1</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积极探索适合生活性服务业特点的未开业企业、无债权债务企业简易注销制度，建立有序的市场退出机制。</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工商总局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2</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推动生活性服务业企业信用信息共享，将有关信用信息纳入国家企业信用信息公示系统，建立完善全国统一的信用信息共享交换平台。</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发展改革委、人民银行、工商总局、商务部会同有关部门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3</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围绕旅游休闲、教育文化体育和养老健康家政等领域，尽快组织实施一批重大工程。</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发展改革委及各有关部门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4</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加强认证认可体系建设，创新评价技术，完善生活性服务业重点领域认证认可制度。加快实施服务质量提升工程和监测基础建设工程。</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质检总局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5</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制定实施好国家服务业标准规划和年度计划。实施服务标准体系建设工程，加快家政、养老、健康、体育、文化、旅游等领域的关键标准研制。继续开展国家级服务业标准化试点，总结推广经验。</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质检总局及各有关部门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6</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适时推进“营改增”改革，研究将尚未试点的生活性服务行业纳入改革范围。科学设计生活性服务业“营改增”改革方案，合理设置生活性服务业增值税税率。</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财政部、税务总局会同有关部门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7</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支持符合条件的生活性服务业企业上市融资和发行债券。</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证监会、发展改革委、人民银行会同有关部门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8</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鼓励金融机构拓宽对生活性服务业企业贷款的抵质押品种类和范围。鼓励商业银行在商业自愿、依法合规、风险可控的前提下，专业化开展知识产权质押、仓单质押、信用保险保单质押、股权质押、保理等多种方式的金融服务。探索建立保险产品保护机制，鼓励保险机构开展产品创新和服务创新。</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人民银行、银监会、保监会</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9</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深化景区门票价格改革，维护旅游市场秩序。</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发展改革委、旅游局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10</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鼓励高等学校、中等职业学校增设家庭、养老、健康等生活性服务业相关专业，扩大人才培养规模。</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教育部、发展改革委</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11</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依托各类职业院校、职业技能培训机构加强实训基地建设，实施家政服务员、养老护理员、病患服务员等家庭服务从业人员专项培训。</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人力资源社会保障部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12</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鼓励从业人员参加依法设立的职业技能鉴定或专项职业能力考核，对通过初次职业技能鉴定并取得相应等级职业资格证书或专项职业能力证书的，按规定给予一次性职业技能鉴定补贴。</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人力资源社会保障部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13</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鼓励和规范家政服务企业以员工制方式提供管理和服务，实行统一标准、统一培训、统一管理。</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人力资源社会保障部、商务部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14</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加强知识产权保护立法和实施工作，强化对专利、商标、版权等无形资产的开发和保护。</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知识产权局、工商总局、版权局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333333"/>
                <w:kern w:val="0"/>
                <w:sz w:val="24"/>
                <w:szCs w:val="24"/>
                <w:lang w:val="en-US" w:eastAsia="zh-CN" w:bidi="ar"/>
              </w:rPr>
              <w:t>15</w:t>
            </w:r>
          </w:p>
        </w:tc>
        <w:tc>
          <w:tcPr>
            <w:tcW w:w="609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以国民经济行业分类为基础，抓紧研究制定生活性服务业及其重点领域统计分类，完善统计制度和指标体系，明确有关部门统计任务。建立健全部门间信息共享机制，逐步建立生活性服务业信息定期发布制度。</w:t>
            </w:r>
          </w:p>
        </w:tc>
        <w:tc>
          <w:tcPr>
            <w:tcW w:w="17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宋体"/>
                <w:color w:val="333333"/>
                <w:kern w:val="0"/>
                <w:sz w:val="24"/>
                <w:szCs w:val="24"/>
                <w:lang w:val="en-US" w:eastAsia="zh-CN" w:bidi="ar"/>
              </w:rPr>
              <w:t>统计局、发展改革委会同各有关部门</w:t>
            </w:r>
          </w:p>
        </w:tc>
      </w:tr>
    </w:tbl>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A3C4C"/>
    <w:rsid w:val="508A3C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2018-11-08T06:10:00Z</dcterms:created>
  <dc:creator>致都</dc:creator>
  <cp:lastModifiedBy>致都</cp:lastModifiedBy>
  <dcterms:modified xsi:type="dcterms:W3CDTF">2018-11-08T06:10:43Z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