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0503" w14:textId="77777777" w:rsidR="00876264" w:rsidRDefault="00876264" w:rsidP="00233E01">
      <w:pPr>
        <w:jc w:val="center"/>
        <w:rPr>
          <w:rFonts w:ascii="仿宋" w:eastAsia="仿宋" w:hAnsi="仿宋"/>
          <w:b/>
          <w:sz w:val="30"/>
          <w:szCs w:val="30"/>
          <w:lang w:val="en-GB"/>
        </w:rPr>
      </w:pPr>
    </w:p>
    <w:p w14:paraId="5CBEB5EE" w14:textId="1B5649B9" w:rsidR="00876264" w:rsidRPr="00D318A5" w:rsidRDefault="00A53618" w:rsidP="00233E01">
      <w:pPr>
        <w:jc w:val="center"/>
        <w:rPr>
          <w:rFonts w:ascii="仿宋" w:eastAsia="仿宋" w:hAnsi="仿宋"/>
          <w:b/>
          <w:sz w:val="36"/>
          <w:szCs w:val="36"/>
          <w:lang w:val="en-GB"/>
        </w:rPr>
      </w:pPr>
      <w:r w:rsidRPr="00D318A5">
        <w:rPr>
          <w:rFonts w:ascii="仿宋" w:eastAsia="仿宋" w:hAnsi="仿宋" w:hint="eastAsia"/>
          <w:b/>
          <w:sz w:val="36"/>
          <w:szCs w:val="36"/>
          <w:lang w:val="en-GB"/>
        </w:rPr>
        <w:t>参加</w:t>
      </w:r>
      <w:r w:rsidRPr="00D318A5">
        <w:rPr>
          <w:rFonts w:ascii="Times New Roman" w:eastAsia="仿宋" w:hAnsi="Times New Roman" w:cs="Times New Roman"/>
          <w:b/>
          <w:sz w:val="36"/>
          <w:szCs w:val="36"/>
          <w:lang w:val="en-GB"/>
        </w:rPr>
        <w:t>WCBA</w:t>
      </w:r>
      <w:r w:rsidRPr="00D318A5">
        <w:rPr>
          <w:rFonts w:ascii="仿宋" w:eastAsia="仿宋" w:hAnsi="仿宋" w:hint="eastAsia"/>
          <w:b/>
          <w:sz w:val="36"/>
          <w:szCs w:val="36"/>
          <w:lang w:val="en-GB"/>
        </w:rPr>
        <w:t>联赛统一选秀办法</w:t>
      </w:r>
    </w:p>
    <w:p w14:paraId="28C057A2" w14:textId="77777777" w:rsidR="00A53618" w:rsidRPr="00233E01" w:rsidRDefault="00A53618" w:rsidP="00A53618">
      <w:pPr>
        <w:rPr>
          <w:rFonts w:ascii="仿宋" w:eastAsia="仿宋" w:hAnsi="仿宋"/>
          <w:sz w:val="30"/>
          <w:szCs w:val="30"/>
          <w:lang w:val="en-GB"/>
        </w:rPr>
      </w:pPr>
    </w:p>
    <w:p w14:paraId="75EEBACA" w14:textId="46CA65EB" w:rsidR="00A53618" w:rsidRPr="00A53618" w:rsidRDefault="00A53618" w:rsidP="00A53618">
      <w:pPr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 xml:space="preserve">    为规范和完善WCBA联赛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选秀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制度，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优化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配置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球员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资源，促进联赛健康有序发展，</w:t>
      </w:r>
      <w:r w:rsidRPr="00A53618">
        <w:rPr>
          <w:rFonts w:ascii="仿宋" w:eastAsia="仿宋" w:hAnsi="仿宋"/>
          <w:sz w:val="30"/>
          <w:szCs w:val="30"/>
          <w:lang w:val="en-GB"/>
        </w:rPr>
        <w:t>从2019-2020赛季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A53618">
        <w:rPr>
          <w:rFonts w:ascii="仿宋" w:eastAsia="仿宋" w:hAnsi="仿宋"/>
          <w:sz w:val="30"/>
          <w:szCs w:val="30"/>
          <w:lang w:val="en-GB"/>
        </w:rPr>
        <w:t>CBA联赛开始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实行统一选秀制度，具体办法如下：</w:t>
      </w:r>
    </w:p>
    <w:p w14:paraId="6280C886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一、参加选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秀球员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条件</w:t>
      </w:r>
    </w:p>
    <w:p w14:paraId="0199A150" w14:textId="74EB76AB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u w:val="single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（一）未注册过WCBA联赛，年龄18 岁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（含）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以上</w:t>
      </w:r>
      <w:r w:rsidR="00A633C8">
        <w:rPr>
          <w:rFonts w:ascii="仿宋" w:eastAsia="仿宋" w:hAnsi="仿宋" w:hint="eastAsia"/>
          <w:sz w:val="30"/>
          <w:szCs w:val="30"/>
          <w:lang w:val="en-GB"/>
        </w:rPr>
        <w:t>的中国公民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，以出生年份为准。</w:t>
      </w:r>
    </w:p>
    <w:p w14:paraId="7DCE2B5D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（二）中国境内就读的中国籍大学生球员。</w:t>
      </w:r>
    </w:p>
    <w:p w14:paraId="69627C8E" w14:textId="245E4254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1.须为符合教育部关于全国高等院校统一招生考试的有关规定录取，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如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参加过CUBA联赛，由所在学校体育部门和中国大学生体育协会出具证明；</w:t>
      </w:r>
    </w:p>
    <w:p w14:paraId="02513D04" w14:textId="4F2355F9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2.体育学院学生球员未参加过CUBA联赛，由学校出具推荐函；</w:t>
      </w:r>
    </w:p>
    <w:p w14:paraId="019E6560" w14:textId="113816DC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（三）就读国（境）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外大学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的中国籍大学生球员，</w:t>
      </w:r>
      <w:r w:rsidR="008D4D06">
        <w:rPr>
          <w:rFonts w:ascii="仿宋" w:eastAsia="仿宋" w:hAnsi="仿宋" w:hint="eastAsia"/>
          <w:sz w:val="30"/>
          <w:szCs w:val="30"/>
          <w:lang w:val="en-GB"/>
        </w:rPr>
        <w:t>由个人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自行</w:t>
      </w:r>
      <w:r w:rsidR="008D4D06">
        <w:rPr>
          <w:rFonts w:ascii="仿宋" w:eastAsia="仿宋" w:hAnsi="仿宋" w:hint="eastAsia"/>
          <w:sz w:val="30"/>
          <w:szCs w:val="30"/>
          <w:lang w:val="en-GB"/>
        </w:rPr>
        <w:t>申请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。</w:t>
      </w:r>
    </w:p>
    <w:p w14:paraId="34A3B9B8" w14:textId="273F0B4E" w:rsid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（四）港澳台球员须参加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过所在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地区最高水平的联赛或入选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过所在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地区代表队，由所在地区篮球协会出具证明。港澳台地区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拥有</w:t>
      </w:r>
      <w:r w:rsidR="00D62A4D">
        <w:rPr>
          <w:rFonts w:ascii="仿宋" w:eastAsia="仿宋" w:hAnsi="仿宋" w:hint="eastAsia"/>
          <w:sz w:val="30"/>
          <w:szCs w:val="30"/>
          <w:lang w:val="en-GB"/>
        </w:rPr>
        <w:t>其他</w:t>
      </w:r>
      <w:r w:rsidR="00853908">
        <w:rPr>
          <w:rFonts w:ascii="仿宋" w:eastAsia="仿宋" w:hAnsi="仿宋" w:hint="eastAsia"/>
          <w:sz w:val="30"/>
          <w:szCs w:val="30"/>
          <w:lang w:val="en-GB"/>
        </w:rPr>
        <w:t>国家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国籍球员、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归化球员不允许参加选秀。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港澳台球员申请时需提交承诺书，承诺无</w:t>
      </w:r>
      <w:r w:rsidR="00853908">
        <w:rPr>
          <w:rFonts w:ascii="仿宋" w:eastAsia="仿宋" w:hAnsi="仿宋" w:hint="eastAsia"/>
          <w:sz w:val="30"/>
          <w:szCs w:val="30"/>
          <w:lang w:val="en-GB"/>
        </w:rPr>
        <w:t>其他国家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国籍，承诺无合同关系。</w:t>
      </w:r>
    </w:p>
    <w:p w14:paraId="56E94F38" w14:textId="4D2A89DB" w:rsidR="00233E01" w:rsidRDefault="00A53618" w:rsidP="00876264">
      <w:pPr>
        <w:ind w:firstLineChars="200" w:firstLine="600"/>
        <w:rPr>
          <w:rFonts w:ascii="仿宋" w:eastAsia="仿宋" w:hAnsi="仿宋"/>
          <w:sz w:val="30"/>
          <w:szCs w:val="30"/>
          <w:lang w:val="de-CH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（五）W</w:t>
      </w:r>
      <w:r w:rsidRPr="00A53618">
        <w:rPr>
          <w:rFonts w:ascii="仿宋" w:eastAsia="仿宋" w:hAnsi="仿宋"/>
          <w:sz w:val="30"/>
          <w:szCs w:val="30"/>
          <w:lang w:val="en-GB"/>
        </w:rPr>
        <w:t>CBA俱乐部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青年队</w:t>
      </w:r>
      <w:r w:rsidRPr="00A53618">
        <w:rPr>
          <w:rFonts w:ascii="仿宋" w:eastAsia="仿宋" w:hAnsi="仿宋"/>
          <w:sz w:val="30"/>
          <w:szCs w:val="30"/>
          <w:lang w:val="en-GB"/>
        </w:rPr>
        <w:t>球员，由WCBA俱乐部或俱乐部所</w:t>
      </w:r>
      <w:r w:rsidRPr="00A53618">
        <w:rPr>
          <w:rFonts w:ascii="仿宋" w:eastAsia="仿宋" w:hAnsi="仿宋"/>
          <w:sz w:val="30"/>
          <w:szCs w:val="30"/>
          <w:lang w:val="en-GB"/>
        </w:rPr>
        <w:lastRenderedPageBreak/>
        <w:t>在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省（自治区、直辖市）体育局篮球项目管理机构或篮球协会出具推荐函</w:t>
      </w:r>
      <w:r w:rsidR="00876264">
        <w:rPr>
          <w:rFonts w:ascii="仿宋" w:eastAsia="仿宋" w:hAnsi="仿宋" w:hint="eastAsia"/>
          <w:sz w:val="30"/>
          <w:szCs w:val="30"/>
          <w:lang w:val="en-GB"/>
        </w:rPr>
        <w:t>及注销申请表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，只能推荐注册在本俱乐部或本单位的球员</w:t>
      </w:r>
      <w:r w:rsidRPr="00A53618">
        <w:rPr>
          <w:rFonts w:ascii="仿宋" w:eastAsia="仿宋" w:hAnsi="仿宋" w:hint="eastAsia"/>
          <w:sz w:val="30"/>
          <w:szCs w:val="30"/>
          <w:lang w:val="de-CH"/>
        </w:rPr>
        <w:t>。</w:t>
      </w:r>
      <w:r w:rsidR="00876264">
        <w:rPr>
          <w:rFonts w:ascii="仿宋" w:eastAsia="仿宋" w:hAnsi="仿宋" w:hint="eastAsia"/>
          <w:sz w:val="30"/>
          <w:szCs w:val="30"/>
          <w:lang w:val="de-CH"/>
        </w:rPr>
        <w:t>如该球员未被选中，则注销申请表退回出具单位，球员继续履行原合同。</w:t>
      </w:r>
    </w:p>
    <w:p w14:paraId="143CBB11" w14:textId="032FE28D" w:rsidR="00876264" w:rsidRPr="00A53618" w:rsidRDefault="00876264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>
        <w:rPr>
          <w:rFonts w:ascii="仿宋" w:eastAsia="仿宋" w:hAnsi="仿宋" w:hint="eastAsia"/>
          <w:sz w:val="30"/>
          <w:szCs w:val="30"/>
          <w:lang w:val="de-CH"/>
        </w:rPr>
        <w:t>（六）其它情形的由球员个人自行申请。</w:t>
      </w:r>
    </w:p>
    <w:p w14:paraId="30227B3A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二、选秀程序</w:t>
      </w:r>
    </w:p>
    <w:p w14:paraId="35DE3B26" w14:textId="054ACF69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（一）拟参加选秀的大学生、港澳台及其他球员（以下简称球员），在选秀报名截止前向中国篮协提交书面申请（见附</w:t>
      </w:r>
      <w:r w:rsidR="005864D2">
        <w:rPr>
          <w:rFonts w:ascii="仿宋" w:eastAsia="仿宋" w:hAnsi="仿宋" w:hint="eastAsia"/>
          <w:sz w:val="30"/>
          <w:szCs w:val="30"/>
          <w:lang w:val="en-GB"/>
        </w:rPr>
        <w:t>件1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），中国篮协接受申请并审核、筛选后，对外公布参加选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秀训练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营的球员名单。</w:t>
      </w:r>
    </w:p>
    <w:p w14:paraId="298FDF2F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b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（二）入围选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秀训练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营的球员，将参加体测、训练及比赛，接受各俱乐部考察、选拔。</w:t>
      </w:r>
    </w:p>
    <w:p w14:paraId="0F71DD0D" w14:textId="43E99C93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（三）选秀大会每年举办一次。选秀顺序按照前一个赛季WCBA联赛排名（内蒙古农信俱乐部不拥有2019-2020赛季WCBA联赛选秀大会的选秀权，但可以推荐本单位符合选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秀条件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的球员参加WCBA选秀活动）</w:t>
      </w:r>
      <w:r w:rsidR="008D4D06">
        <w:rPr>
          <w:rFonts w:ascii="仿宋" w:eastAsia="仿宋" w:hAnsi="仿宋" w:hint="eastAsia"/>
          <w:sz w:val="30"/>
          <w:szCs w:val="30"/>
          <w:lang w:val="en-GB"/>
        </w:rPr>
        <w:t>。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选秀大会共进行两轮</w:t>
      </w:r>
      <w:r w:rsidR="008D4D06">
        <w:rPr>
          <w:rFonts w:ascii="仿宋" w:eastAsia="仿宋" w:hAnsi="仿宋" w:hint="eastAsia"/>
          <w:sz w:val="30"/>
          <w:szCs w:val="30"/>
          <w:lang w:val="en-GB"/>
        </w:rPr>
        <w:t>：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第一轮：2018-2019赛季W</w:t>
      </w:r>
      <w:r w:rsidRPr="00A53618">
        <w:rPr>
          <w:rFonts w:ascii="仿宋" w:eastAsia="仿宋" w:hAnsi="仿宋"/>
          <w:sz w:val="30"/>
          <w:szCs w:val="30"/>
          <w:lang w:val="en-GB"/>
        </w:rPr>
        <w:t>CBA联赛18</w:t>
      </w:r>
      <w:proofErr w:type="gramStart"/>
      <w:r w:rsidRPr="00A53618">
        <w:rPr>
          <w:rFonts w:ascii="仿宋" w:eastAsia="仿宋" w:hAnsi="仿宋"/>
          <w:sz w:val="30"/>
          <w:szCs w:val="30"/>
          <w:lang w:val="en-GB"/>
        </w:rPr>
        <w:t>家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俱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乐部采用“倒摘牌”方式进行选秀；第二轮：2018-2019赛季W</w:t>
      </w:r>
      <w:r w:rsidRPr="00A53618">
        <w:rPr>
          <w:rFonts w:ascii="仿宋" w:eastAsia="仿宋" w:hAnsi="仿宋"/>
          <w:sz w:val="30"/>
          <w:szCs w:val="30"/>
          <w:lang w:val="en-GB"/>
        </w:rPr>
        <w:t>CBA联赛18</w:t>
      </w:r>
      <w:proofErr w:type="gramStart"/>
      <w:r w:rsidRPr="00A53618">
        <w:rPr>
          <w:rFonts w:ascii="仿宋" w:eastAsia="仿宋" w:hAnsi="仿宋"/>
          <w:sz w:val="30"/>
          <w:szCs w:val="30"/>
          <w:lang w:val="en-GB"/>
        </w:rPr>
        <w:t>家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俱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乐部采用“正摘牌”方式进行选秀。</w:t>
      </w:r>
    </w:p>
    <w:p w14:paraId="322F6B75" w14:textId="25EF382D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（四）俱乐部在选秀大会选中球员后，俱乐部须在</w:t>
      </w:r>
      <w:r w:rsidR="00040AC7">
        <w:rPr>
          <w:rFonts w:ascii="仿宋" w:eastAsia="仿宋" w:hAnsi="仿宋" w:hint="eastAsia"/>
          <w:sz w:val="30"/>
          <w:szCs w:val="30"/>
          <w:lang w:val="en-GB"/>
        </w:rPr>
        <w:t>联赛开赛前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与被选中球员完成签约，并在中国篮协技术部完备注册手续。</w:t>
      </w:r>
    </w:p>
    <w:p w14:paraId="603A25C5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bCs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（五）球员入围</w:t>
      </w:r>
      <w:r w:rsidRPr="00A53618">
        <w:rPr>
          <w:rFonts w:ascii="仿宋" w:eastAsia="仿宋" w:hAnsi="仿宋"/>
          <w:sz w:val="30"/>
          <w:szCs w:val="30"/>
          <w:lang w:val="en-GB"/>
        </w:rPr>
        <w:t>选</w:t>
      </w:r>
      <w:proofErr w:type="gramStart"/>
      <w:r w:rsidRPr="00A53618">
        <w:rPr>
          <w:rFonts w:ascii="仿宋" w:eastAsia="仿宋" w:hAnsi="仿宋"/>
          <w:sz w:val="30"/>
          <w:szCs w:val="30"/>
          <w:lang w:val="en-GB"/>
        </w:rPr>
        <w:t>秀训练</w:t>
      </w:r>
      <w:proofErr w:type="gramEnd"/>
      <w:r w:rsidRPr="00A53618">
        <w:rPr>
          <w:rFonts w:ascii="仿宋" w:eastAsia="仿宋" w:hAnsi="仿宋"/>
          <w:sz w:val="30"/>
          <w:szCs w:val="30"/>
          <w:lang w:val="en-GB"/>
        </w:rPr>
        <w:t>营并且参加了选秀大会，在没有被</w:t>
      </w:r>
      <w:r w:rsidRPr="00A53618">
        <w:rPr>
          <w:rFonts w:ascii="仿宋" w:eastAsia="仿宋" w:hAnsi="仿宋"/>
          <w:sz w:val="30"/>
          <w:szCs w:val="30"/>
          <w:lang w:val="en-GB"/>
        </w:rPr>
        <w:lastRenderedPageBreak/>
        <w:t>任何俱乐部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选中</w:t>
      </w:r>
      <w:r w:rsidRPr="00A53618">
        <w:rPr>
          <w:rFonts w:ascii="仿宋" w:eastAsia="仿宋" w:hAnsi="仿宋"/>
          <w:sz w:val="30"/>
          <w:szCs w:val="30"/>
          <w:lang w:val="en-GB"/>
        </w:rPr>
        <w:t>的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情况</w:t>
      </w:r>
      <w:r w:rsidRPr="00A53618">
        <w:rPr>
          <w:rFonts w:ascii="仿宋" w:eastAsia="仿宋" w:hAnsi="仿宋"/>
          <w:sz w:val="30"/>
          <w:szCs w:val="30"/>
          <w:lang w:val="en-GB"/>
        </w:rPr>
        <w:t>下，仍将拥有参加选秀的机会，</w:t>
      </w:r>
      <w:proofErr w:type="gramStart"/>
      <w:r w:rsidRPr="00A53618">
        <w:rPr>
          <w:rFonts w:ascii="仿宋" w:eastAsia="仿宋" w:hAnsi="仿宋"/>
          <w:sz w:val="30"/>
          <w:szCs w:val="30"/>
          <w:lang w:val="en-GB"/>
        </w:rPr>
        <w:t>且参加</w:t>
      </w:r>
      <w:proofErr w:type="gramEnd"/>
      <w:r w:rsidRPr="00A53618">
        <w:rPr>
          <w:rFonts w:ascii="仿宋" w:eastAsia="仿宋" w:hAnsi="仿宋"/>
          <w:sz w:val="30"/>
          <w:szCs w:val="30"/>
          <w:lang w:val="en-GB"/>
        </w:rPr>
        <w:t>选秀的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次数</w:t>
      </w:r>
      <w:r w:rsidRPr="00A53618">
        <w:rPr>
          <w:rFonts w:ascii="仿宋" w:eastAsia="仿宋" w:hAnsi="仿宋"/>
          <w:sz w:val="30"/>
          <w:szCs w:val="30"/>
          <w:lang w:val="en-GB"/>
        </w:rPr>
        <w:t>不设限制</w:t>
      </w:r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。</w:t>
      </w:r>
    </w:p>
    <w:p w14:paraId="593F9B34" w14:textId="77C37D4A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（六）申请参加选秀的球员在入围选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秀训练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营名单后，遇特殊情况（如正在参加所在地区的联赛或因伤病）不能参加训练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营及选秀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大会者，需说明情况或出具证明并经中国篮协同意后，仍可被纳入参加选秀大会的球员名单中。如无故不参加训练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营及选秀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大会者，取消该球员参加本届选秀的机会或取消该球员未来3年内再次参加选秀的机会。</w:t>
      </w:r>
    </w:p>
    <w:p w14:paraId="7831F7B3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bCs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三、选</w:t>
      </w:r>
      <w:proofErr w:type="gramStart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秀球员</w:t>
      </w:r>
      <w:proofErr w:type="gramEnd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待遇和合同</w:t>
      </w:r>
    </w:p>
    <w:p w14:paraId="2FF877C1" w14:textId="220B5588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（一）选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秀球员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实行最低保障工资制度（不包含比赛奖金等津贴），并根据被选中顺序，获得相应的最低保障工资。第1-5</w:t>
      </w:r>
      <w:r w:rsidR="00872CB2">
        <w:rPr>
          <w:rFonts w:ascii="仿宋" w:eastAsia="仿宋" w:hAnsi="仿宋" w:hint="eastAsia"/>
          <w:sz w:val="30"/>
          <w:szCs w:val="30"/>
          <w:lang w:val="en-GB"/>
        </w:rPr>
        <w:t>顺位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被选中，最低保障工资不低于15万/年；第6-10</w:t>
      </w:r>
      <w:r w:rsidR="00872CB2">
        <w:rPr>
          <w:rFonts w:ascii="仿宋" w:eastAsia="仿宋" w:hAnsi="仿宋" w:hint="eastAsia"/>
          <w:sz w:val="30"/>
          <w:szCs w:val="30"/>
          <w:lang w:val="en-GB"/>
        </w:rPr>
        <w:t>顺位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被选中，最低保障工资不低于10万/年；第11</w:t>
      </w:r>
      <w:r w:rsidR="00872CB2">
        <w:rPr>
          <w:rFonts w:ascii="仿宋" w:eastAsia="仿宋" w:hAnsi="仿宋" w:hint="eastAsia"/>
          <w:sz w:val="30"/>
          <w:szCs w:val="30"/>
          <w:lang w:val="en-GB"/>
        </w:rPr>
        <w:t>顺位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及以后被选中，最低保障工资不低于8万/年</w:t>
      </w:r>
      <w:r w:rsidR="00872CB2">
        <w:rPr>
          <w:rFonts w:ascii="仿宋" w:eastAsia="仿宋" w:hAnsi="仿宋" w:hint="eastAsia"/>
          <w:sz w:val="30"/>
          <w:szCs w:val="30"/>
          <w:lang w:val="en-GB"/>
        </w:rPr>
        <w:t>，如俱乐部放弃选秀权，选秀顺位</w:t>
      </w:r>
      <w:proofErr w:type="gramStart"/>
      <w:r w:rsidR="00872CB2">
        <w:rPr>
          <w:rFonts w:ascii="仿宋" w:eastAsia="仿宋" w:hAnsi="仿宋" w:hint="eastAsia"/>
          <w:sz w:val="30"/>
          <w:szCs w:val="30"/>
          <w:lang w:val="en-GB"/>
        </w:rPr>
        <w:t>不</w:t>
      </w:r>
      <w:proofErr w:type="gramEnd"/>
      <w:r w:rsidR="00872CB2">
        <w:rPr>
          <w:rFonts w:ascii="仿宋" w:eastAsia="仿宋" w:hAnsi="仿宋" w:hint="eastAsia"/>
          <w:sz w:val="30"/>
          <w:szCs w:val="30"/>
          <w:lang w:val="en-GB"/>
        </w:rPr>
        <w:t>依次递增。</w:t>
      </w:r>
    </w:p>
    <w:p w14:paraId="6A16E5FA" w14:textId="086A1053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（二）俱乐部与选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秀球员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的签约年限实行“</w:t>
      </w:r>
      <w:r w:rsidRPr="00A53618">
        <w:rPr>
          <w:rFonts w:ascii="仿宋" w:eastAsia="仿宋" w:hAnsi="仿宋"/>
          <w:sz w:val="30"/>
          <w:szCs w:val="30"/>
          <w:lang w:val="en-GB"/>
        </w:rPr>
        <w:t>2+N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”年模式（</w:t>
      </w:r>
      <w:r w:rsidRPr="00A53618">
        <w:rPr>
          <w:rFonts w:ascii="仿宋" w:eastAsia="仿宋" w:hAnsi="仿宋"/>
          <w:sz w:val="30"/>
          <w:szCs w:val="30"/>
          <w:lang w:val="en-GB"/>
        </w:rPr>
        <w:t>N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为俱乐部优先续约权，</w:t>
      </w:r>
      <w:r w:rsidRPr="00A53618">
        <w:rPr>
          <w:rFonts w:ascii="仿宋" w:eastAsia="仿宋" w:hAnsi="仿宋"/>
          <w:sz w:val="30"/>
          <w:szCs w:val="30"/>
          <w:lang w:val="en-GB"/>
        </w:rPr>
        <w:t>N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≤</w:t>
      </w:r>
      <w:r w:rsidRPr="00A53618">
        <w:rPr>
          <w:rFonts w:ascii="仿宋" w:eastAsia="仿宋" w:hAnsi="仿宋"/>
          <w:sz w:val="30"/>
          <w:szCs w:val="30"/>
          <w:lang w:val="en-GB"/>
        </w:rPr>
        <w:t>2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年）。球员被选中后，先与俱乐部签署不多于2年的合同，在首</w:t>
      </w:r>
      <w:r w:rsidR="003F3F53">
        <w:rPr>
          <w:rFonts w:ascii="仿宋" w:eastAsia="仿宋" w:hAnsi="仿宋" w:hint="eastAsia"/>
          <w:sz w:val="30"/>
          <w:szCs w:val="30"/>
          <w:lang w:val="en-GB"/>
        </w:rPr>
        <w:t>期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合同执行完成后，俱乐部获得该球员的优先续约权，行使优先续约权的条件和流程按照</w:t>
      </w:r>
      <w:r w:rsidRPr="00A53618">
        <w:rPr>
          <w:rFonts w:ascii="仿宋" w:eastAsia="仿宋" w:hAnsi="仿宋"/>
          <w:sz w:val="30"/>
          <w:szCs w:val="30"/>
          <w:lang w:val="en-GB"/>
        </w:rPr>
        <w:t>中国篮协注册管理规定</w:t>
      </w:r>
      <w:r w:rsidRPr="00A53618">
        <w:rPr>
          <w:rFonts w:ascii="仿宋" w:eastAsia="仿宋" w:hAnsi="仿宋" w:hint="eastAsia"/>
          <w:sz w:val="30"/>
          <w:szCs w:val="30"/>
          <w:lang w:val="en-GB"/>
        </w:rPr>
        <w:t>相关规定执行。</w:t>
      </w:r>
    </w:p>
    <w:p w14:paraId="0B8190E0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（三）除了最低保障工资外，球员还可以获得俱乐部颁发的比赛奖金等津贴，颁发条件及标准由俱乐部与选</w:t>
      </w:r>
      <w:proofErr w:type="gramStart"/>
      <w:r w:rsidRPr="00A53618">
        <w:rPr>
          <w:rFonts w:ascii="仿宋" w:eastAsia="仿宋" w:hAnsi="仿宋" w:hint="eastAsia"/>
          <w:sz w:val="30"/>
          <w:szCs w:val="30"/>
          <w:lang w:val="en-GB"/>
        </w:rPr>
        <w:t>秀球员</w:t>
      </w:r>
      <w:proofErr w:type="gramEnd"/>
      <w:r w:rsidRPr="00A53618">
        <w:rPr>
          <w:rFonts w:ascii="仿宋" w:eastAsia="仿宋" w:hAnsi="仿宋" w:hint="eastAsia"/>
          <w:sz w:val="30"/>
          <w:szCs w:val="30"/>
          <w:lang w:val="en-GB"/>
        </w:rPr>
        <w:t>自行商定。</w:t>
      </w:r>
    </w:p>
    <w:p w14:paraId="049F87D1" w14:textId="77777777" w:rsidR="00A53618" w:rsidRPr="00A53618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lastRenderedPageBreak/>
        <w:t>（四）俱乐部通过选秀签约的球员，被选中后的第一个</w:t>
      </w:r>
      <w:proofErr w:type="gramStart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赛季若</w:t>
      </w:r>
      <w:proofErr w:type="gramEnd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注册、报名参加W</w:t>
      </w:r>
      <w:r w:rsidRPr="00A53618">
        <w:rPr>
          <w:rFonts w:ascii="仿宋" w:eastAsia="仿宋" w:hAnsi="仿宋"/>
          <w:bCs/>
          <w:sz w:val="30"/>
          <w:szCs w:val="30"/>
          <w:lang w:val="en-GB"/>
        </w:rPr>
        <w:t>CBA联赛，不</w:t>
      </w:r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受该俱乐部联赛注册、报名人数限制</w:t>
      </w:r>
      <w:r w:rsidRPr="00A53618">
        <w:rPr>
          <w:rFonts w:ascii="仿宋" w:eastAsia="仿宋" w:hAnsi="仿宋"/>
          <w:bCs/>
          <w:sz w:val="30"/>
          <w:szCs w:val="30"/>
          <w:lang w:val="en-GB"/>
        </w:rPr>
        <w:t>,但</w:t>
      </w:r>
      <w:proofErr w:type="gramStart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受</w:t>
      </w:r>
      <w:r w:rsidRPr="00A53618">
        <w:rPr>
          <w:rFonts w:ascii="仿宋" w:eastAsia="仿宋" w:hAnsi="仿宋"/>
          <w:bCs/>
          <w:sz w:val="30"/>
          <w:szCs w:val="30"/>
          <w:lang w:val="en-GB"/>
        </w:rPr>
        <w:t>每个</w:t>
      </w:r>
      <w:proofErr w:type="gramEnd"/>
      <w:r w:rsidRPr="00A53618">
        <w:rPr>
          <w:rFonts w:ascii="仿宋" w:eastAsia="仿宋" w:hAnsi="仿宋"/>
          <w:bCs/>
          <w:sz w:val="30"/>
          <w:szCs w:val="30"/>
          <w:lang w:val="en-GB"/>
        </w:rPr>
        <w:t>赛季每</w:t>
      </w:r>
      <w:proofErr w:type="gramStart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家俱</w:t>
      </w:r>
      <w:proofErr w:type="gramEnd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乐</w:t>
      </w:r>
      <w:proofErr w:type="gramStart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部注册</w:t>
      </w:r>
      <w:proofErr w:type="gramEnd"/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港澳台球员人数不得超过1</w:t>
      </w:r>
      <w:r w:rsidRPr="00A53618">
        <w:rPr>
          <w:rFonts w:ascii="仿宋" w:eastAsia="仿宋" w:hAnsi="仿宋"/>
          <w:bCs/>
          <w:sz w:val="30"/>
          <w:szCs w:val="30"/>
          <w:lang w:val="en-GB"/>
        </w:rPr>
        <w:t>名</w:t>
      </w:r>
      <w:r w:rsidRPr="00A53618">
        <w:rPr>
          <w:rFonts w:ascii="仿宋" w:eastAsia="仿宋" w:hAnsi="仿宋" w:hint="eastAsia"/>
          <w:bCs/>
          <w:sz w:val="30"/>
          <w:szCs w:val="30"/>
          <w:lang w:val="en-GB"/>
        </w:rPr>
        <w:t>的规定限制。</w:t>
      </w:r>
    </w:p>
    <w:p w14:paraId="4B48EF5E" w14:textId="425CC861" w:rsidR="00102D96" w:rsidRDefault="00A53618" w:rsidP="00A53618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A53618">
        <w:rPr>
          <w:rFonts w:ascii="仿宋" w:eastAsia="仿宋" w:hAnsi="仿宋" w:hint="eastAsia"/>
          <w:sz w:val="30"/>
          <w:szCs w:val="30"/>
          <w:lang w:val="en-GB"/>
        </w:rPr>
        <w:t>四、</w:t>
      </w:r>
      <w:r w:rsidR="00102D96">
        <w:rPr>
          <w:rFonts w:ascii="仿宋" w:eastAsia="仿宋" w:hAnsi="仿宋" w:hint="eastAsia"/>
          <w:sz w:val="30"/>
          <w:szCs w:val="30"/>
          <w:lang w:val="en-GB"/>
        </w:rPr>
        <w:t>争议处理</w:t>
      </w:r>
    </w:p>
    <w:p w14:paraId="759196E1" w14:textId="77777777" w:rsidR="00876264" w:rsidRDefault="00102D96" w:rsidP="00102D96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102D96">
        <w:rPr>
          <w:rFonts w:ascii="仿宋" w:eastAsia="仿宋" w:hAnsi="仿宋" w:hint="eastAsia"/>
          <w:sz w:val="30"/>
          <w:szCs w:val="30"/>
          <w:lang w:val="en-GB"/>
        </w:rPr>
        <w:t>由于俱乐部方面原因未与球员签约，将核减俱乐部与该球员最低保障工资相对应数额的联赛经费，核减经费用于补偿球员，并取消该俱乐部未来两个赛季的选秀权利。</w:t>
      </w:r>
    </w:p>
    <w:p w14:paraId="7C8014BD" w14:textId="66EA39C2" w:rsidR="00102D96" w:rsidRDefault="00102D96" w:rsidP="00102D96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102D96">
        <w:rPr>
          <w:rFonts w:ascii="仿宋" w:eastAsia="仿宋" w:hAnsi="仿宋" w:hint="eastAsia"/>
          <w:sz w:val="30"/>
          <w:szCs w:val="30"/>
          <w:lang w:val="en-GB"/>
        </w:rPr>
        <w:t>若由于球员方面原因未与俱乐部签约，取消该球员未来3年内再次参加选秀的机会。</w:t>
      </w:r>
      <w:r w:rsidR="00040AC7" w:rsidRPr="00040AC7">
        <w:rPr>
          <w:rFonts w:ascii="仿宋" w:eastAsia="仿宋" w:hAnsi="仿宋" w:hint="eastAsia"/>
          <w:sz w:val="30"/>
          <w:szCs w:val="30"/>
          <w:lang w:val="en-GB"/>
        </w:rPr>
        <w:t>如俱乐部达到最低工资保障数额，而球员拒绝签约的，视为球员违约</w:t>
      </w:r>
      <w:r w:rsidR="00040AC7">
        <w:rPr>
          <w:rFonts w:ascii="仿宋" w:eastAsia="仿宋" w:hAnsi="仿宋" w:hint="eastAsia"/>
          <w:sz w:val="30"/>
          <w:szCs w:val="30"/>
          <w:lang w:val="en-GB"/>
        </w:rPr>
        <w:t>。</w:t>
      </w:r>
    </w:p>
    <w:p w14:paraId="62915529" w14:textId="42B6ACB4" w:rsidR="00FE2138" w:rsidRDefault="00FE2138" w:rsidP="00102D96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>
        <w:rPr>
          <w:rFonts w:ascii="仿宋" w:eastAsia="仿宋" w:hAnsi="仿宋" w:hint="eastAsia"/>
          <w:sz w:val="30"/>
          <w:szCs w:val="30"/>
          <w:lang w:val="en-GB"/>
        </w:rPr>
        <w:t>五、特殊情况</w:t>
      </w:r>
    </w:p>
    <w:p w14:paraId="2AEF6BE5" w14:textId="0D6C6642" w:rsidR="00FE2138" w:rsidRPr="00102D96" w:rsidRDefault="00FE2138" w:rsidP="00102D96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>
        <w:rPr>
          <w:rFonts w:ascii="仿宋" w:eastAsia="仿宋" w:hAnsi="仿宋" w:hint="eastAsia"/>
          <w:sz w:val="30"/>
          <w:szCs w:val="30"/>
          <w:lang w:val="en-GB"/>
        </w:rPr>
        <w:t>见附件2。</w:t>
      </w:r>
    </w:p>
    <w:p w14:paraId="412FD645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0EF278D1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4A548424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64192FF0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7DA4570E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0D45F265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369F7FBB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6BEDBC33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03F1503D" w14:textId="77777777" w:rsidR="00233E01" w:rsidRDefault="00233E01" w:rsidP="00A53618">
      <w:pPr>
        <w:widowControl/>
        <w:spacing w:line="460" w:lineRule="exact"/>
        <w:jc w:val="center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71BD0725" w14:textId="77777777" w:rsidR="00233E01" w:rsidRDefault="00233E01" w:rsidP="008200B1">
      <w:pPr>
        <w:widowControl/>
        <w:spacing w:line="460" w:lineRule="exact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719B7BED" w14:textId="5F12DA3E" w:rsidR="00233E01" w:rsidRDefault="00233E01" w:rsidP="00040AC7">
      <w:pPr>
        <w:widowControl/>
        <w:spacing w:line="460" w:lineRule="exact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</w:p>
    <w:p w14:paraId="714B5E01" w14:textId="77777777" w:rsidR="00D318A5" w:rsidRDefault="00D318A5" w:rsidP="00040AC7">
      <w:pPr>
        <w:widowControl/>
        <w:spacing w:line="460" w:lineRule="exact"/>
        <w:rPr>
          <w:rFonts w:ascii="仿宋" w:eastAsia="仿宋" w:hAnsi="仿宋" w:cs="Times New Roman"/>
          <w:b/>
          <w:bCs/>
          <w:kern w:val="0"/>
          <w:sz w:val="36"/>
          <w:szCs w:val="36"/>
          <w:lang w:val="en-GB" w:eastAsia="de-CH"/>
        </w:rPr>
      </w:pPr>
      <w:bookmarkStart w:id="0" w:name="_GoBack"/>
      <w:bookmarkEnd w:id="0"/>
    </w:p>
    <w:p w14:paraId="218CD991" w14:textId="02CCF2E4" w:rsidR="00A53618" w:rsidRPr="005864D2" w:rsidRDefault="00A53618" w:rsidP="005864D2">
      <w:pPr>
        <w:widowControl/>
        <w:spacing w:line="460" w:lineRule="exact"/>
        <w:jc w:val="center"/>
        <w:rPr>
          <w:rFonts w:ascii="宋体" w:eastAsia="宋体" w:hAnsi="宋体" w:cs="Times New Roman"/>
          <w:b/>
          <w:bCs/>
          <w:kern w:val="0"/>
          <w:sz w:val="36"/>
          <w:szCs w:val="36"/>
          <w:lang w:val="en-GB" w:eastAsia="de-CH"/>
        </w:rPr>
      </w:pPr>
      <w:r w:rsidRPr="005864D2">
        <w:rPr>
          <w:rFonts w:ascii="宋体" w:eastAsia="宋体" w:hAnsi="宋体" w:cs="Times New Roman" w:hint="eastAsia"/>
          <w:b/>
          <w:bCs/>
          <w:kern w:val="0"/>
          <w:sz w:val="36"/>
          <w:szCs w:val="36"/>
          <w:lang w:val="en-GB" w:eastAsia="de-CH"/>
        </w:rPr>
        <w:lastRenderedPageBreak/>
        <w:t>附</w:t>
      </w:r>
      <w:r w:rsidR="005864D2">
        <w:rPr>
          <w:rFonts w:ascii="宋体" w:eastAsia="宋体" w:hAnsi="宋体" w:cs="Times New Roman" w:hint="eastAsia"/>
          <w:b/>
          <w:bCs/>
          <w:kern w:val="0"/>
          <w:sz w:val="36"/>
          <w:szCs w:val="36"/>
          <w:lang w:val="en-GB"/>
        </w:rPr>
        <w:t>件1</w:t>
      </w:r>
      <w:r w:rsidRPr="005864D2">
        <w:rPr>
          <w:rFonts w:ascii="宋体" w:eastAsia="宋体" w:hAnsi="宋体" w:cs="Times New Roman" w:hint="eastAsia"/>
          <w:b/>
          <w:bCs/>
          <w:kern w:val="0"/>
          <w:sz w:val="36"/>
          <w:szCs w:val="36"/>
          <w:lang w:val="en-GB" w:eastAsia="de-CH"/>
        </w:rPr>
        <w:t xml:space="preserve">： </w:t>
      </w:r>
      <w:r w:rsidRPr="005864D2">
        <w:rPr>
          <w:rFonts w:ascii="宋体" w:eastAsia="宋体" w:hAnsi="宋体" w:cs="Times New Roman"/>
          <w:b/>
          <w:bCs/>
          <w:kern w:val="0"/>
          <w:sz w:val="36"/>
          <w:szCs w:val="36"/>
          <w:lang w:val="en-GB" w:eastAsia="de-CH"/>
        </w:rPr>
        <w:t>W</w:t>
      </w:r>
      <w:r w:rsidRPr="005864D2">
        <w:rPr>
          <w:rFonts w:ascii="宋体" w:eastAsia="宋体" w:hAnsi="宋体" w:cs="Times New Roman" w:hint="eastAsia"/>
          <w:b/>
          <w:bCs/>
          <w:kern w:val="0"/>
          <w:sz w:val="36"/>
          <w:szCs w:val="36"/>
          <w:lang w:val="en-GB" w:eastAsia="de-CH"/>
        </w:rPr>
        <w:t>CBA选秀申请表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8"/>
        <w:gridCol w:w="538"/>
        <w:gridCol w:w="425"/>
        <w:gridCol w:w="426"/>
        <w:gridCol w:w="595"/>
        <w:gridCol w:w="1156"/>
        <w:gridCol w:w="91"/>
        <w:gridCol w:w="1843"/>
      </w:tblGrid>
      <w:tr w:rsidR="00A53618" w:rsidRPr="00A53618" w14:paraId="5C804AFB" w14:textId="77777777" w:rsidTr="00A53618">
        <w:trPr>
          <w:jc w:val="center"/>
        </w:trPr>
        <w:tc>
          <w:tcPr>
            <w:tcW w:w="2439" w:type="dxa"/>
            <w:vAlign w:val="center"/>
          </w:tcPr>
          <w:p w14:paraId="33834866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姓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 xml:space="preserve">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名</w:t>
            </w:r>
          </w:p>
        </w:tc>
        <w:tc>
          <w:tcPr>
            <w:tcW w:w="1418" w:type="dxa"/>
          </w:tcPr>
          <w:p w14:paraId="4E7D37C9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84" w:type="dxa"/>
            <w:gridSpan w:val="4"/>
          </w:tcPr>
          <w:p w14:paraId="34D205D8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身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 xml:space="preserve">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高</w:t>
            </w:r>
          </w:p>
          <w:p w14:paraId="7836F18D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（厘米）</w:t>
            </w:r>
          </w:p>
        </w:tc>
        <w:tc>
          <w:tcPr>
            <w:tcW w:w="1156" w:type="dxa"/>
          </w:tcPr>
          <w:p w14:paraId="6EDDB65D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34" w:type="dxa"/>
            <w:gridSpan w:val="2"/>
            <w:vMerge w:val="restart"/>
          </w:tcPr>
          <w:p w14:paraId="4AAA0FA3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  <w:p w14:paraId="7926B1CF" w14:textId="77777777" w:rsidR="00A53618" w:rsidRPr="00A53618" w:rsidRDefault="00A53618" w:rsidP="00A53618">
            <w:pPr>
              <w:widowControl/>
              <w:spacing w:line="260" w:lineRule="atLeast"/>
              <w:ind w:firstLine="400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4"/>
                <w:szCs w:val="24"/>
                <w:lang w:val="en-GB"/>
              </w:rPr>
              <w:t>电子照片</w:t>
            </w:r>
          </w:p>
        </w:tc>
      </w:tr>
      <w:tr w:rsidR="00A53618" w:rsidRPr="00A53618" w14:paraId="1327A138" w14:textId="77777777" w:rsidTr="00A53618">
        <w:trPr>
          <w:trHeight w:val="772"/>
          <w:jc w:val="center"/>
        </w:trPr>
        <w:tc>
          <w:tcPr>
            <w:tcW w:w="2439" w:type="dxa"/>
          </w:tcPr>
          <w:p w14:paraId="40C977E5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出生日期</w:t>
            </w:r>
          </w:p>
          <w:p w14:paraId="0C095793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（年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/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月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/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日）</w:t>
            </w:r>
          </w:p>
        </w:tc>
        <w:tc>
          <w:tcPr>
            <w:tcW w:w="1418" w:type="dxa"/>
          </w:tcPr>
          <w:p w14:paraId="5D714B89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E6BBC41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体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 xml:space="preserve">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重</w:t>
            </w:r>
          </w:p>
          <w:p w14:paraId="6622029F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（公斤）</w:t>
            </w:r>
          </w:p>
        </w:tc>
        <w:tc>
          <w:tcPr>
            <w:tcW w:w="1156" w:type="dxa"/>
          </w:tcPr>
          <w:p w14:paraId="41CB7503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34" w:type="dxa"/>
            <w:gridSpan w:val="2"/>
            <w:vMerge/>
          </w:tcPr>
          <w:p w14:paraId="3554D978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</w:tr>
      <w:tr w:rsidR="00A53618" w:rsidRPr="00A53618" w14:paraId="54B47BB7" w14:textId="77777777" w:rsidTr="00A53618">
        <w:trPr>
          <w:jc w:val="center"/>
        </w:trPr>
        <w:tc>
          <w:tcPr>
            <w:tcW w:w="2439" w:type="dxa"/>
            <w:vAlign w:val="center"/>
          </w:tcPr>
          <w:p w14:paraId="7260A5E6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户口所在地</w:t>
            </w:r>
          </w:p>
          <w:p w14:paraId="00C9707B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（大学生或其它球员填写）</w:t>
            </w:r>
          </w:p>
        </w:tc>
        <w:tc>
          <w:tcPr>
            <w:tcW w:w="1418" w:type="dxa"/>
          </w:tcPr>
          <w:p w14:paraId="4AECBEFA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84" w:type="dxa"/>
            <w:gridSpan w:val="4"/>
          </w:tcPr>
          <w:p w14:paraId="776761AC" w14:textId="77777777" w:rsidR="00A53618" w:rsidRPr="00A53618" w:rsidRDefault="00A53618" w:rsidP="00A53618">
            <w:pPr>
              <w:widowControl/>
              <w:spacing w:line="400" w:lineRule="exact"/>
              <w:ind w:firstLine="142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所在地区</w:t>
            </w:r>
          </w:p>
          <w:p w14:paraId="541AFB85" w14:textId="77777777" w:rsidR="00A53618" w:rsidRPr="00A53618" w:rsidRDefault="00A53618" w:rsidP="00A53618">
            <w:pPr>
              <w:widowControl/>
              <w:spacing w:line="400" w:lineRule="exact"/>
              <w:jc w:val="left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（港澳台球员填写）</w:t>
            </w:r>
          </w:p>
        </w:tc>
        <w:tc>
          <w:tcPr>
            <w:tcW w:w="1156" w:type="dxa"/>
          </w:tcPr>
          <w:p w14:paraId="2A2FF6DB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34" w:type="dxa"/>
            <w:gridSpan w:val="2"/>
            <w:vMerge/>
          </w:tcPr>
          <w:p w14:paraId="0D1E0BB9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</w:tr>
      <w:tr w:rsidR="00A53618" w:rsidRPr="00A53618" w14:paraId="6CEBD7BC" w14:textId="77777777" w:rsidTr="00A53618">
        <w:trPr>
          <w:trHeight w:val="708"/>
          <w:jc w:val="center"/>
        </w:trPr>
        <w:tc>
          <w:tcPr>
            <w:tcW w:w="2439" w:type="dxa"/>
            <w:vAlign w:val="center"/>
          </w:tcPr>
          <w:p w14:paraId="2AFB0E92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手机电话</w:t>
            </w:r>
          </w:p>
        </w:tc>
        <w:tc>
          <w:tcPr>
            <w:tcW w:w="1418" w:type="dxa"/>
            <w:vAlign w:val="center"/>
          </w:tcPr>
          <w:p w14:paraId="7C6AD0E0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28DC1969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邮箱地址</w:t>
            </w:r>
          </w:p>
        </w:tc>
        <w:tc>
          <w:tcPr>
            <w:tcW w:w="3090" w:type="dxa"/>
            <w:gridSpan w:val="3"/>
            <w:vAlign w:val="center"/>
          </w:tcPr>
          <w:p w14:paraId="1EC7AAB0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</w:tr>
      <w:tr w:rsidR="00A53618" w:rsidRPr="00A53618" w14:paraId="3279FBB3" w14:textId="77777777" w:rsidTr="00A53618">
        <w:trPr>
          <w:trHeight w:val="708"/>
          <w:jc w:val="center"/>
        </w:trPr>
        <w:tc>
          <w:tcPr>
            <w:tcW w:w="2439" w:type="dxa"/>
            <w:vAlign w:val="center"/>
          </w:tcPr>
          <w:p w14:paraId="2EC0312C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微信号</w:t>
            </w:r>
          </w:p>
        </w:tc>
        <w:tc>
          <w:tcPr>
            <w:tcW w:w="1418" w:type="dxa"/>
            <w:vAlign w:val="center"/>
          </w:tcPr>
          <w:p w14:paraId="1E2B31CA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7A21CCD3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服装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/>
              </w:rPr>
              <w:t>尺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码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/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鞋码</w:t>
            </w:r>
          </w:p>
          <w:p w14:paraId="7DBBAE90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/>
              </w:rPr>
              <w:t>匹克</w:t>
            </w: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尺码）</w:t>
            </w:r>
          </w:p>
        </w:tc>
        <w:tc>
          <w:tcPr>
            <w:tcW w:w="3090" w:type="dxa"/>
            <w:gridSpan w:val="3"/>
            <w:vAlign w:val="center"/>
          </w:tcPr>
          <w:p w14:paraId="2424CA84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</w:tr>
      <w:tr w:rsidR="00A53618" w:rsidRPr="00A53618" w14:paraId="63012E5C" w14:textId="77777777" w:rsidTr="00A53618">
        <w:trPr>
          <w:jc w:val="center"/>
        </w:trPr>
        <w:tc>
          <w:tcPr>
            <w:tcW w:w="2439" w:type="dxa"/>
            <w:vAlign w:val="center"/>
          </w:tcPr>
          <w:p w14:paraId="0CB9E263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就读大学</w:t>
            </w:r>
          </w:p>
          <w:p w14:paraId="522EBA11" w14:textId="77777777" w:rsidR="00A53618" w:rsidRPr="00A53618" w:rsidRDefault="00A53618" w:rsidP="00A53618">
            <w:pPr>
              <w:widowControl/>
              <w:spacing w:line="400" w:lineRule="exact"/>
              <w:ind w:firstLine="90"/>
              <w:jc w:val="left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（大学生球员填写）</w:t>
            </w:r>
          </w:p>
        </w:tc>
        <w:tc>
          <w:tcPr>
            <w:tcW w:w="2807" w:type="dxa"/>
            <w:gridSpan w:val="4"/>
          </w:tcPr>
          <w:p w14:paraId="65A510AA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18"/>
                <w:szCs w:val="18"/>
                <w:lang w:val="en-GB" w:eastAsia="de-CH"/>
              </w:rPr>
            </w:pPr>
          </w:p>
        </w:tc>
        <w:tc>
          <w:tcPr>
            <w:tcW w:w="1842" w:type="dxa"/>
            <w:gridSpan w:val="3"/>
          </w:tcPr>
          <w:p w14:paraId="087D3895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就读年级</w:t>
            </w:r>
          </w:p>
          <w:p w14:paraId="46F0520B" w14:textId="77777777" w:rsidR="00A53618" w:rsidRPr="00A53618" w:rsidRDefault="00A53618" w:rsidP="00A53618">
            <w:pPr>
              <w:widowControl/>
              <w:spacing w:line="400" w:lineRule="exact"/>
              <w:jc w:val="center"/>
              <w:rPr>
                <w:rFonts w:ascii="Interstate-Light" w:eastAsia="宋体" w:hAnsi="Interstate-Light" w:cs="Times New Roman"/>
                <w:kern w:val="0"/>
                <w:sz w:val="18"/>
                <w:szCs w:val="1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kern w:val="0"/>
                <w:sz w:val="18"/>
                <w:szCs w:val="18"/>
                <w:lang w:val="en-GB" w:eastAsia="de-CH"/>
              </w:rPr>
              <w:t>（大学生球员填写）</w:t>
            </w:r>
          </w:p>
        </w:tc>
        <w:tc>
          <w:tcPr>
            <w:tcW w:w="1843" w:type="dxa"/>
          </w:tcPr>
          <w:p w14:paraId="0C884664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18"/>
                <w:szCs w:val="18"/>
                <w:lang w:val="en-GB" w:eastAsia="de-CH"/>
              </w:rPr>
            </w:pPr>
          </w:p>
        </w:tc>
      </w:tr>
      <w:tr w:rsidR="00A53618" w:rsidRPr="00A53618" w14:paraId="3626FD70" w14:textId="77777777" w:rsidTr="00A53618">
        <w:trPr>
          <w:trHeight w:val="744"/>
          <w:jc w:val="center"/>
        </w:trPr>
        <w:tc>
          <w:tcPr>
            <w:tcW w:w="4820" w:type="dxa"/>
            <w:gridSpan w:val="4"/>
            <w:vAlign w:val="center"/>
          </w:tcPr>
          <w:p w14:paraId="3F5C7CED" w14:textId="77777777" w:rsidR="00A53618" w:rsidRPr="00A53618" w:rsidRDefault="00A53618" w:rsidP="00A53618">
            <w:pPr>
              <w:widowControl/>
              <w:spacing w:line="260" w:lineRule="atLeast"/>
              <w:jc w:val="center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是否可以来参加训练营和选秀大会</w:t>
            </w:r>
          </w:p>
        </w:tc>
        <w:tc>
          <w:tcPr>
            <w:tcW w:w="4111" w:type="dxa"/>
            <w:gridSpan w:val="5"/>
          </w:tcPr>
          <w:p w14:paraId="5A317374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</w:p>
        </w:tc>
      </w:tr>
      <w:tr w:rsidR="00A53618" w:rsidRPr="00A53618" w14:paraId="67939709" w14:textId="77777777" w:rsidTr="00A53618">
        <w:trPr>
          <w:trHeight w:val="2172"/>
          <w:jc w:val="center"/>
        </w:trPr>
        <w:tc>
          <w:tcPr>
            <w:tcW w:w="8931" w:type="dxa"/>
            <w:gridSpan w:val="9"/>
          </w:tcPr>
          <w:p w14:paraId="10D5726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8"/>
                <w:szCs w:val="28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主要运动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/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8"/>
                <w:szCs w:val="28"/>
                <w:lang w:val="en-GB" w:eastAsia="de-CH"/>
              </w:rPr>
              <w:t>比赛经历及成绩：</w:t>
            </w:r>
          </w:p>
        </w:tc>
      </w:tr>
      <w:tr w:rsidR="00A53618" w:rsidRPr="00A53618" w14:paraId="745D7CCA" w14:textId="77777777" w:rsidTr="00A53618">
        <w:trPr>
          <w:trHeight w:val="2125"/>
          <w:jc w:val="center"/>
        </w:trPr>
        <w:tc>
          <w:tcPr>
            <w:tcW w:w="4395" w:type="dxa"/>
            <w:gridSpan w:val="3"/>
          </w:tcPr>
          <w:p w14:paraId="24163380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大学生球员</w:t>
            </w:r>
          </w:p>
          <w:p w14:paraId="02C27950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所在院校体育部门核准签字及盖章：</w:t>
            </w:r>
          </w:p>
          <w:p w14:paraId="79B4B44C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2475B755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5306FBB0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4DF27789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69E0B27C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6C2C3894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 xml:space="preserve">                   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日期：</w:t>
            </w:r>
          </w:p>
        </w:tc>
        <w:tc>
          <w:tcPr>
            <w:tcW w:w="4536" w:type="dxa"/>
            <w:gridSpan w:val="6"/>
          </w:tcPr>
          <w:p w14:paraId="7783776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大学生球员</w:t>
            </w:r>
          </w:p>
          <w:p w14:paraId="0989A5EF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中国大学生体育协会核准签字及盖章：</w:t>
            </w:r>
          </w:p>
          <w:p w14:paraId="00AF75C1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66451BD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044AFAA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4B7F9AC9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7961E5FC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3BC0F400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 xml:space="preserve">                   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日期：</w:t>
            </w:r>
          </w:p>
        </w:tc>
      </w:tr>
      <w:tr w:rsidR="00A53618" w:rsidRPr="00A53618" w14:paraId="3A11FC8A" w14:textId="77777777" w:rsidTr="00A53618">
        <w:trPr>
          <w:trHeight w:val="416"/>
          <w:jc w:val="center"/>
        </w:trPr>
        <w:tc>
          <w:tcPr>
            <w:tcW w:w="4395" w:type="dxa"/>
            <w:gridSpan w:val="3"/>
          </w:tcPr>
          <w:p w14:paraId="41893497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港澳台球员</w:t>
            </w:r>
          </w:p>
          <w:p w14:paraId="47B34B37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所在地区篮球协会核准签字及盖章：</w:t>
            </w:r>
          </w:p>
          <w:p w14:paraId="445945F6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2FDDC50F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69DDB05B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78C38013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7F15641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72AEBF9E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 xml:space="preserve">                     </w:t>
            </w:r>
          </w:p>
          <w:p w14:paraId="34F9FFD1" w14:textId="77777777" w:rsidR="00A53618" w:rsidRPr="00A53618" w:rsidRDefault="00A53618" w:rsidP="00A53618">
            <w:pPr>
              <w:widowControl/>
              <w:spacing w:line="260" w:lineRule="atLeast"/>
              <w:ind w:firstLineChars="500" w:firstLine="1004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日期：</w:t>
            </w:r>
          </w:p>
        </w:tc>
        <w:tc>
          <w:tcPr>
            <w:tcW w:w="4536" w:type="dxa"/>
            <w:gridSpan w:val="6"/>
          </w:tcPr>
          <w:p w14:paraId="75D7D2A8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其他球员</w:t>
            </w:r>
          </w:p>
          <w:p w14:paraId="73B98026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  <w:t>WCBA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俱乐部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/>
              </w:rPr>
              <w:t>、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省（自治区、直辖市）体育局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/>
              </w:rPr>
              <w:t>或篮球协会、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体育学院推荐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/>
              </w:rPr>
              <w:t>或个人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签字及盖章：</w:t>
            </w:r>
          </w:p>
          <w:p w14:paraId="2E761B3B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03FF6FCB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79706B8D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68DAF1E3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</w:p>
          <w:p w14:paraId="327E806F" w14:textId="77777777" w:rsidR="00A53618" w:rsidRPr="00A53618" w:rsidRDefault="00A53618" w:rsidP="00A53618">
            <w:pPr>
              <w:widowControl/>
              <w:spacing w:line="260" w:lineRule="atLeast"/>
              <w:jc w:val="left"/>
              <w:rPr>
                <w:rFonts w:ascii="Interstate-Light" w:eastAsia="宋体" w:hAnsi="Interstate-Light" w:cs="Times New Roman"/>
                <w:b/>
                <w:kern w:val="0"/>
                <w:sz w:val="20"/>
                <w:szCs w:val="21"/>
                <w:lang w:val="en-GB" w:eastAsia="de-CH"/>
              </w:rPr>
            </w:pP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 xml:space="preserve">                     </w:t>
            </w:r>
            <w:r w:rsidRPr="00A53618">
              <w:rPr>
                <w:rFonts w:ascii="Interstate-Light" w:eastAsia="宋体" w:hAnsi="Interstate-Light" w:cs="Times New Roman" w:hint="eastAsia"/>
                <w:b/>
                <w:kern w:val="0"/>
                <w:sz w:val="20"/>
                <w:szCs w:val="21"/>
                <w:lang w:val="en-GB" w:eastAsia="de-CH"/>
              </w:rPr>
              <w:t>日期：</w:t>
            </w:r>
          </w:p>
        </w:tc>
      </w:tr>
    </w:tbl>
    <w:p w14:paraId="6535FDCB" w14:textId="74EE2FB3" w:rsidR="00D670F7" w:rsidRDefault="00D670F7">
      <w:pPr>
        <w:rPr>
          <w:lang w:val="en-GB"/>
        </w:rPr>
      </w:pPr>
    </w:p>
    <w:p w14:paraId="41094E10" w14:textId="7CB04C26" w:rsidR="00233E01" w:rsidRPr="00233E01" w:rsidRDefault="00233E01" w:rsidP="00233E01">
      <w:pPr>
        <w:rPr>
          <w:rFonts w:ascii="仿宋" w:eastAsia="仿宋" w:hAnsi="仿宋"/>
          <w:sz w:val="30"/>
          <w:szCs w:val="30"/>
          <w:lang w:val="en-GB"/>
        </w:rPr>
      </w:pPr>
      <w:r w:rsidRPr="00233E01">
        <w:rPr>
          <w:rFonts w:ascii="仿宋" w:eastAsia="仿宋" w:hAnsi="仿宋" w:hint="eastAsia"/>
          <w:sz w:val="30"/>
          <w:szCs w:val="30"/>
          <w:lang w:val="en-GB"/>
        </w:rPr>
        <w:lastRenderedPageBreak/>
        <w:t>附件</w:t>
      </w:r>
      <w:r w:rsidR="005864D2">
        <w:rPr>
          <w:rFonts w:ascii="仿宋" w:eastAsia="仿宋" w:hAnsi="仿宋" w:hint="eastAsia"/>
          <w:sz w:val="30"/>
          <w:szCs w:val="30"/>
          <w:lang w:val="en-GB"/>
        </w:rPr>
        <w:t>2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：</w:t>
      </w:r>
    </w:p>
    <w:p w14:paraId="25F30E6B" w14:textId="77777777" w:rsidR="00233E01" w:rsidRDefault="00233E01" w:rsidP="00233E01">
      <w:pPr>
        <w:jc w:val="center"/>
        <w:rPr>
          <w:rFonts w:ascii="仿宋" w:eastAsia="仿宋" w:hAnsi="仿宋"/>
          <w:sz w:val="30"/>
          <w:szCs w:val="30"/>
          <w:lang w:val="en-GB"/>
        </w:rPr>
      </w:pPr>
    </w:p>
    <w:p w14:paraId="1AFCB287" w14:textId="787CDE7B" w:rsidR="00233E01" w:rsidRPr="005864D2" w:rsidRDefault="00233E01" w:rsidP="00233E01">
      <w:pPr>
        <w:jc w:val="center"/>
        <w:rPr>
          <w:rFonts w:ascii="宋体" w:eastAsia="宋体" w:hAnsi="宋体"/>
          <w:b/>
          <w:bCs/>
          <w:sz w:val="36"/>
          <w:szCs w:val="36"/>
          <w:lang w:val="en-GB"/>
        </w:rPr>
      </w:pPr>
      <w:r w:rsidRPr="005864D2">
        <w:rPr>
          <w:rFonts w:ascii="宋体" w:eastAsia="宋体" w:hAnsi="宋体" w:hint="eastAsia"/>
          <w:b/>
          <w:bCs/>
          <w:sz w:val="36"/>
          <w:szCs w:val="36"/>
          <w:lang w:val="en-GB"/>
        </w:rPr>
        <w:t>不参加选</w:t>
      </w:r>
      <w:proofErr w:type="gramStart"/>
      <w:r w:rsidRPr="005864D2">
        <w:rPr>
          <w:rFonts w:ascii="宋体" w:eastAsia="宋体" w:hAnsi="宋体" w:hint="eastAsia"/>
          <w:b/>
          <w:bCs/>
          <w:sz w:val="36"/>
          <w:szCs w:val="36"/>
          <w:lang w:val="en-GB"/>
        </w:rPr>
        <w:t>秀直接</w:t>
      </w:r>
      <w:proofErr w:type="gramEnd"/>
      <w:r w:rsidRPr="005864D2">
        <w:rPr>
          <w:rFonts w:ascii="宋体" w:eastAsia="宋体" w:hAnsi="宋体" w:hint="eastAsia"/>
          <w:b/>
          <w:bCs/>
          <w:sz w:val="36"/>
          <w:szCs w:val="36"/>
          <w:lang w:val="en-GB"/>
        </w:rPr>
        <w:t>注册的情况</w:t>
      </w:r>
    </w:p>
    <w:p w14:paraId="69701D0D" w14:textId="77777777" w:rsidR="00233E01" w:rsidRPr="00233E01" w:rsidRDefault="00233E01" w:rsidP="00233E01">
      <w:pPr>
        <w:rPr>
          <w:rFonts w:ascii="仿宋" w:eastAsia="仿宋" w:hAnsi="仿宋"/>
          <w:sz w:val="30"/>
          <w:szCs w:val="30"/>
          <w:lang w:val="en-GB"/>
        </w:rPr>
      </w:pPr>
    </w:p>
    <w:p w14:paraId="6B59A435" w14:textId="77777777" w:rsidR="00233E01" w:rsidRPr="00233E01" w:rsidRDefault="00233E01" w:rsidP="005864D2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233E01">
        <w:rPr>
          <w:rFonts w:ascii="仿宋" w:eastAsia="仿宋" w:hAnsi="仿宋"/>
          <w:sz w:val="30"/>
          <w:szCs w:val="30"/>
          <w:lang w:val="en-GB"/>
        </w:rPr>
        <w:t>（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一</w:t>
      </w:r>
      <w:r w:rsidRPr="00233E01">
        <w:rPr>
          <w:rFonts w:ascii="仿宋" w:eastAsia="仿宋" w:hAnsi="仿宋"/>
          <w:sz w:val="30"/>
          <w:szCs w:val="30"/>
          <w:lang w:val="en-GB"/>
        </w:rPr>
        <w:t>）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由俱乐部青年队自行培养，代表俱乐部至少参加过2次中国篮协主办的青年比赛。</w:t>
      </w:r>
    </w:p>
    <w:p w14:paraId="68FD63D0" w14:textId="77777777" w:rsidR="00233E01" w:rsidRPr="00233E01" w:rsidRDefault="00233E01" w:rsidP="005864D2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233E01">
        <w:rPr>
          <w:rFonts w:ascii="仿宋" w:eastAsia="仿宋" w:hAnsi="仿宋"/>
          <w:sz w:val="30"/>
          <w:szCs w:val="30"/>
          <w:lang w:val="en-GB"/>
        </w:rPr>
        <w:t>（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二</w:t>
      </w:r>
      <w:r w:rsidRPr="00233E01">
        <w:rPr>
          <w:rFonts w:ascii="仿宋" w:eastAsia="仿宋" w:hAnsi="仿宋"/>
          <w:sz w:val="30"/>
          <w:szCs w:val="30"/>
          <w:lang w:val="en-GB"/>
        </w:rPr>
        <w:t>）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新疆天山、陕西天泽、四川金强3</w:t>
      </w:r>
      <w:proofErr w:type="gramStart"/>
      <w:r w:rsidRPr="00233E01">
        <w:rPr>
          <w:rFonts w:ascii="仿宋" w:eastAsia="仿宋" w:hAnsi="仿宋" w:hint="eastAsia"/>
          <w:sz w:val="30"/>
          <w:szCs w:val="30"/>
          <w:lang w:val="en-GB"/>
        </w:rPr>
        <w:t>家俱</w:t>
      </w:r>
      <w:proofErr w:type="gramEnd"/>
      <w:r w:rsidRPr="00233E01">
        <w:rPr>
          <w:rFonts w:ascii="仿宋" w:eastAsia="仿宋" w:hAnsi="仿宋" w:hint="eastAsia"/>
          <w:sz w:val="30"/>
          <w:szCs w:val="30"/>
          <w:lang w:val="en-GB"/>
        </w:rPr>
        <w:t>乐部与大学存在共建关系，合作协议到2021年结束。2019-2020赛季W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CBA联赛允许直接注册备案大学生球员2名；2020-2021赛季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CBA联赛允许直接注册备案大学生球员1名；202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1-2022赛季W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CBA联赛开始，所有大学生球员必须通过选</w:t>
      </w:r>
      <w:proofErr w:type="gramStart"/>
      <w:r w:rsidRPr="00233E01">
        <w:rPr>
          <w:rFonts w:ascii="仿宋" w:eastAsia="仿宋" w:hAnsi="仿宋"/>
          <w:sz w:val="30"/>
          <w:szCs w:val="30"/>
          <w:lang w:val="en-GB"/>
        </w:rPr>
        <w:t>秀进入</w:t>
      </w:r>
      <w:proofErr w:type="gramEnd"/>
      <w:r w:rsidRPr="00233E01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233E01">
        <w:rPr>
          <w:rFonts w:ascii="仿宋" w:eastAsia="仿宋" w:hAnsi="仿宋"/>
          <w:sz w:val="30"/>
          <w:szCs w:val="30"/>
          <w:lang w:val="en-GB"/>
        </w:rPr>
        <w:t>CBA联赛。</w:t>
      </w:r>
    </w:p>
    <w:p w14:paraId="5BEB0564" w14:textId="77777777" w:rsidR="00233E01" w:rsidRPr="00233E01" w:rsidRDefault="00233E01" w:rsidP="005864D2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233E01">
        <w:rPr>
          <w:rFonts w:ascii="仿宋" w:eastAsia="仿宋" w:hAnsi="仿宋"/>
          <w:sz w:val="30"/>
          <w:szCs w:val="30"/>
          <w:lang w:val="en-GB"/>
        </w:rPr>
        <w:t>（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三</w:t>
      </w:r>
      <w:r w:rsidRPr="00233E01">
        <w:rPr>
          <w:rFonts w:ascii="仿宋" w:eastAsia="仿宋" w:hAnsi="仿宋"/>
          <w:sz w:val="30"/>
          <w:szCs w:val="30"/>
          <w:lang w:val="en-GB"/>
        </w:rPr>
        <w:t>）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山西兴瑞俱乐部与大学存在共建关系，合作协议到2023年结束，2019-2020赛季W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CBA联赛允许直接注册备案大学生球员2名；2020-2021赛季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CBA联赛允许直接注册备案大学生球员1名；202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1-2022赛季W</w:t>
      </w:r>
      <w:r w:rsidRPr="00233E01">
        <w:rPr>
          <w:rFonts w:ascii="仿宋" w:eastAsia="仿宋" w:hAnsi="仿宋"/>
          <w:sz w:val="30"/>
          <w:szCs w:val="30"/>
          <w:lang w:val="en-GB"/>
        </w:rPr>
        <w:t>CBA联赛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允许直接注册备案</w:t>
      </w:r>
      <w:r w:rsidRPr="00233E01">
        <w:rPr>
          <w:rFonts w:ascii="仿宋" w:eastAsia="仿宋" w:hAnsi="仿宋"/>
          <w:sz w:val="30"/>
          <w:szCs w:val="30"/>
          <w:lang w:val="en-GB"/>
        </w:rPr>
        <w:t>大学生球员1名；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2022-2023赛季W</w:t>
      </w:r>
      <w:r w:rsidRPr="00233E01">
        <w:rPr>
          <w:rFonts w:ascii="仿宋" w:eastAsia="仿宋" w:hAnsi="仿宋"/>
          <w:sz w:val="30"/>
          <w:szCs w:val="30"/>
          <w:lang w:val="en-GB"/>
        </w:rPr>
        <w:t>CBA联赛允许直接注册备案大学生球员1名；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从2023-2024赛季W</w:t>
      </w:r>
      <w:r w:rsidRPr="00233E01">
        <w:rPr>
          <w:rFonts w:ascii="仿宋" w:eastAsia="仿宋" w:hAnsi="仿宋"/>
          <w:sz w:val="30"/>
          <w:szCs w:val="30"/>
          <w:lang w:val="en-GB"/>
        </w:rPr>
        <w:t>CBA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联赛</w:t>
      </w:r>
      <w:r w:rsidRPr="00233E01">
        <w:rPr>
          <w:rFonts w:ascii="仿宋" w:eastAsia="仿宋" w:hAnsi="仿宋"/>
          <w:sz w:val="30"/>
          <w:szCs w:val="30"/>
          <w:lang w:val="en-GB"/>
        </w:rPr>
        <w:t>所有大学生球员必须通过选</w:t>
      </w:r>
      <w:proofErr w:type="gramStart"/>
      <w:r w:rsidRPr="00233E01">
        <w:rPr>
          <w:rFonts w:ascii="仿宋" w:eastAsia="仿宋" w:hAnsi="仿宋"/>
          <w:sz w:val="30"/>
          <w:szCs w:val="30"/>
          <w:lang w:val="en-GB"/>
        </w:rPr>
        <w:t>秀进入</w:t>
      </w:r>
      <w:proofErr w:type="gramEnd"/>
      <w:r w:rsidRPr="00233E01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233E01">
        <w:rPr>
          <w:rFonts w:ascii="仿宋" w:eastAsia="仿宋" w:hAnsi="仿宋"/>
          <w:sz w:val="30"/>
          <w:szCs w:val="30"/>
          <w:lang w:val="en-GB"/>
        </w:rPr>
        <w:t>CBA联赛。</w:t>
      </w:r>
    </w:p>
    <w:p w14:paraId="623ABD92" w14:textId="718AEF80" w:rsidR="00233E01" w:rsidRPr="00233E01" w:rsidRDefault="00233E01" w:rsidP="005864D2">
      <w:pPr>
        <w:ind w:firstLineChars="200" w:firstLine="600"/>
        <w:rPr>
          <w:rFonts w:ascii="仿宋" w:eastAsia="仿宋" w:hAnsi="仿宋"/>
          <w:sz w:val="30"/>
          <w:szCs w:val="30"/>
          <w:lang w:val="en-GB"/>
        </w:rPr>
      </w:pPr>
      <w:r w:rsidRPr="00233E01">
        <w:rPr>
          <w:rFonts w:ascii="仿宋" w:eastAsia="仿宋" w:hAnsi="仿宋" w:hint="eastAsia"/>
          <w:sz w:val="30"/>
          <w:szCs w:val="30"/>
          <w:lang w:val="en-GB"/>
        </w:rPr>
        <w:t>（四）北京首钢俱乐部与运动员马伊娜签署聘用合同在《中国篮协关于提交共建材料的通知》发布前签署，可以直接注册</w:t>
      </w:r>
      <w:r w:rsidR="005864D2">
        <w:rPr>
          <w:rFonts w:ascii="仿宋" w:eastAsia="仿宋" w:hAnsi="仿宋" w:hint="eastAsia"/>
          <w:sz w:val="30"/>
          <w:szCs w:val="30"/>
          <w:lang w:val="en-GB"/>
        </w:rPr>
        <w:t>2019-2020赛季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W</w:t>
      </w:r>
      <w:r w:rsidRPr="00233E01">
        <w:rPr>
          <w:rFonts w:ascii="仿宋" w:eastAsia="仿宋" w:hAnsi="仿宋"/>
          <w:sz w:val="30"/>
          <w:szCs w:val="30"/>
          <w:lang w:val="en-GB"/>
        </w:rPr>
        <w:t>CBA联赛</w:t>
      </w:r>
      <w:r w:rsidRPr="00233E01">
        <w:rPr>
          <w:rFonts w:ascii="仿宋" w:eastAsia="仿宋" w:hAnsi="仿宋" w:hint="eastAsia"/>
          <w:sz w:val="30"/>
          <w:szCs w:val="30"/>
          <w:lang w:val="en-GB"/>
        </w:rPr>
        <w:t>。</w:t>
      </w:r>
    </w:p>
    <w:p w14:paraId="70A8E8ED" w14:textId="77777777" w:rsidR="00233E01" w:rsidRPr="00233E01" w:rsidRDefault="00233E01">
      <w:pPr>
        <w:rPr>
          <w:lang w:val="en-GB"/>
        </w:rPr>
      </w:pPr>
    </w:p>
    <w:sectPr w:rsidR="00233E01" w:rsidRPr="00233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01B4" w14:textId="77777777" w:rsidR="00F0537E" w:rsidRDefault="00F0537E" w:rsidP="00A53618">
      <w:r>
        <w:separator/>
      </w:r>
    </w:p>
  </w:endnote>
  <w:endnote w:type="continuationSeparator" w:id="0">
    <w:p w14:paraId="23224AD3" w14:textId="77777777" w:rsidR="00F0537E" w:rsidRDefault="00F0537E" w:rsidP="00A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terstate-Light">
    <w:altName w:val="Arial Narrow"/>
    <w:charset w:val="00"/>
    <w:family w:val="auto"/>
    <w:pitch w:val="variable"/>
    <w:sig w:usb0="00000003" w:usb1="0000004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6A208" w14:textId="77777777" w:rsidR="00F0537E" w:rsidRDefault="00F0537E" w:rsidP="00A53618">
      <w:r>
        <w:separator/>
      </w:r>
    </w:p>
  </w:footnote>
  <w:footnote w:type="continuationSeparator" w:id="0">
    <w:p w14:paraId="6D50B8A5" w14:textId="77777777" w:rsidR="00F0537E" w:rsidRDefault="00F0537E" w:rsidP="00A5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59"/>
    <w:rsid w:val="00034CC4"/>
    <w:rsid w:val="00040AC7"/>
    <w:rsid w:val="00061C5B"/>
    <w:rsid w:val="00102D96"/>
    <w:rsid w:val="001A002E"/>
    <w:rsid w:val="00233E01"/>
    <w:rsid w:val="003821A0"/>
    <w:rsid w:val="003F3F53"/>
    <w:rsid w:val="004555DB"/>
    <w:rsid w:val="00550059"/>
    <w:rsid w:val="005864D2"/>
    <w:rsid w:val="00635168"/>
    <w:rsid w:val="008200B1"/>
    <w:rsid w:val="008305A9"/>
    <w:rsid w:val="008449F3"/>
    <w:rsid w:val="00853908"/>
    <w:rsid w:val="00872CB2"/>
    <w:rsid w:val="00876264"/>
    <w:rsid w:val="008A63BA"/>
    <w:rsid w:val="008D4D06"/>
    <w:rsid w:val="00A53618"/>
    <w:rsid w:val="00A633C8"/>
    <w:rsid w:val="00B22058"/>
    <w:rsid w:val="00D318A5"/>
    <w:rsid w:val="00D62A4D"/>
    <w:rsid w:val="00D670F7"/>
    <w:rsid w:val="00F0537E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634BD"/>
  <w15:chartTrackingRefBased/>
  <w15:docId w15:val="{4655607D-5032-4ECF-9CBF-68A9F69D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4C0EC-FFE3-49F7-ADFC-C2B6882B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永明</dc:creator>
  <cp:keywords/>
  <dc:description/>
  <cp:lastModifiedBy>陆 永明</cp:lastModifiedBy>
  <cp:revision>21</cp:revision>
  <dcterms:created xsi:type="dcterms:W3CDTF">2019-09-11T07:22:00Z</dcterms:created>
  <dcterms:modified xsi:type="dcterms:W3CDTF">2019-09-30T06:06:00Z</dcterms:modified>
</cp:coreProperties>
</file>