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00"/>
        </w:tabs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申报单位认定条件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Hans"/>
        </w:rPr>
        <w:t>考评表</w:t>
      </w:r>
    </w:p>
    <w:p>
      <w:pPr>
        <w:tabs>
          <w:tab w:val="left" w:pos="3500"/>
        </w:tabs>
        <w:jc w:val="center"/>
        <w:rPr>
          <w:rFonts w:ascii="楷体" w:hAnsi="楷体" w:eastAsia="楷体" w:cs="Tahoma"/>
          <w:color w:val="000000"/>
          <w:kern w:val="0"/>
          <w:sz w:val="30"/>
          <w:szCs w:val="30"/>
        </w:rPr>
      </w:pPr>
    </w:p>
    <w:tbl>
      <w:tblPr>
        <w:tblStyle w:val="7"/>
        <w:tblW w:w="53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68"/>
        <w:gridCol w:w="708"/>
        <w:gridCol w:w="4668"/>
        <w:gridCol w:w="672"/>
        <w:gridCol w:w="667"/>
        <w:gridCol w:w="812"/>
      </w:tblGrid>
      <w:tr>
        <w:trPr>
          <w:trHeight w:val="435" w:hRule="atLeast"/>
          <w:jc w:val="center"/>
        </w:trPr>
        <w:tc>
          <w:tcPr>
            <w:tcW w:w="431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一级指标</w:t>
            </w:r>
          </w:p>
        </w:tc>
        <w:tc>
          <w:tcPr>
            <w:tcW w:w="422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二级指标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序号</w:t>
            </w:r>
          </w:p>
        </w:tc>
        <w:tc>
          <w:tcPr>
            <w:tcW w:w="2570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三级指标</w:t>
            </w:r>
          </w:p>
        </w:tc>
        <w:tc>
          <w:tcPr>
            <w:tcW w:w="370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满分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评分</w:t>
            </w:r>
          </w:p>
        </w:tc>
        <w:tc>
          <w:tcPr>
            <w:tcW w:w="447" w:type="pc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备注</w:t>
            </w:r>
          </w:p>
        </w:tc>
      </w:tr>
      <w:tr>
        <w:trPr>
          <w:trHeight w:val="397" w:hRule="atLeast"/>
          <w:jc w:val="center"/>
        </w:trPr>
        <w:tc>
          <w:tcPr>
            <w:tcW w:w="43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组织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领导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3"/>
                <w:szCs w:val="13"/>
              </w:rPr>
              <w:t>（18分）</w:t>
            </w:r>
          </w:p>
        </w:tc>
        <w:tc>
          <w:tcPr>
            <w:tcW w:w="422" w:type="pct"/>
            <w:vMerge w:val="restar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领导重视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1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同意与中国田径协会签订齐抓共建协议。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226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保障参加协会组织的集训、学习、比赛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3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省市相关领导对基地关注</w:t>
            </w:r>
          </w:p>
          <w:p>
            <w:pPr>
              <w:pStyle w:val="12"/>
              <w:numPr>
                <w:ilvl w:val="0"/>
                <w:numId w:val="1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基地对地方做出贡献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226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资金投入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4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每年投入配套经费3—5万元及以上，用于保障运动员参赛。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组织管理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5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组织管理机构健全，主要领导每年度至少召开两次以上会议专题研究训练工作。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405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6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1、主要领导检查训练、竞赛至少两次以上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2、每年到国家、省级比赛现场观摩比赛两次以上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2" w:hRule="atLeast"/>
          <w:jc w:val="center"/>
        </w:trPr>
        <w:tc>
          <w:tcPr>
            <w:tcW w:w="43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教练员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3"/>
                <w:szCs w:val="13"/>
              </w:rPr>
              <w:t>（14分）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专业情况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7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申报单项基地项目的专项教练员：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1、从事过专业训练或受过专业教育（1分）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2、具有本科及以上学历（2分）</w:t>
            </w:r>
          </w:p>
          <w:p>
            <w:pPr>
              <w:spacing w:before="60" w:beforeLines="25" w:line="240" w:lineRule="auto"/>
              <w:ind w:left="105" w:leftChars="50" w:firstLine="300" w:firstLineChars="150"/>
              <w:jc w:val="left"/>
              <w:rPr>
                <w:rFonts w:ascii="仿宋_GB231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0"/>
              </w:rPr>
              <w:t>具有专科及大专学历（1分）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教练员培训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8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教练员每年参加再教育情况（2分）</w:t>
            </w:r>
          </w:p>
          <w:p>
            <w:pPr>
              <w:pStyle w:val="12"/>
              <w:numPr>
                <w:ilvl w:val="0"/>
                <w:numId w:val="2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教练员每年参加相关培训情况（2分）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科学训练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9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3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严格遵守《青少年训练大纲》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10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1、制定四年项目发展规划（2分）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2、带训教练员的年度、阶段、周训练计划及日训练教案齐全规范（2分）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431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运动员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3"/>
                <w:szCs w:val="13"/>
              </w:rPr>
              <w:t>（12分）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选材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11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符合本项目选材标准：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100%的运动员符合本项目的选材标准（8分）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70%的运动员符合本项目的选材标准（6分）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50%的运动员符合本项目的选材标准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（4分）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50%以下的运动员符合本项目的选材标准（2分）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年龄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12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sz w:val="20"/>
                <w:szCs w:val="20"/>
              </w:rPr>
              <w:t>各年龄段人数是否衔接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2、13岁以下，14-15岁，16-17岁各占一定比例</w:t>
            </w:r>
          </w:p>
          <w:p>
            <w:pPr>
              <w:spacing w:before="60" w:beforeLines="25" w:line="240" w:lineRule="auto"/>
              <w:ind w:left="105" w:leftChars="50" w:firstLine="200" w:firstLineChars="1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2.1、运动员年龄在12-17周岁之间。分12-13周岁、14-15周岁、16-17周岁三个年龄段，按一定比例配备。（4分）</w:t>
            </w:r>
          </w:p>
          <w:p>
            <w:pPr>
              <w:spacing w:before="60" w:beforeLines="25" w:line="240" w:lineRule="auto"/>
              <w:ind w:left="105" w:leftChars="50" w:firstLine="200" w:firstLineChars="1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2.2、缺少一个年龄运动员（2分）</w:t>
            </w:r>
          </w:p>
          <w:p>
            <w:pPr>
              <w:spacing w:before="60" w:beforeLines="25" w:line="240" w:lineRule="auto"/>
              <w:ind w:left="105" w:leftChars="50" w:firstLine="200" w:firstLineChars="1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2.3、缺少二个年龄运动员（0分）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反兴奋剂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3"/>
                <w:szCs w:val="13"/>
              </w:rPr>
              <w:t>（6分）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反兴奋剂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13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4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所有教练员参加反兴奋剂学习</w:t>
            </w:r>
          </w:p>
          <w:p>
            <w:pPr>
              <w:pStyle w:val="12"/>
              <w:numPr>
                <w:ilvl w:val="0"/>
                <w:numId w:val="4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所有运动员参加反兴奋剂学习</w:t>
            </w:r>
          </w:p>
          <w:p>
            <w:pPr>
              <w:pStyle w:val="12"/>
              <w:numPr>
                <w:ilvl w:val="0"/>
                <w:numId w:val="4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自觉抵制兴奋剂、虚报年龄等违法和违犯体育道德、弄虚作假行为。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6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43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人才培养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3"/>
                <w:szCs w:val="13"/>
              </w:rPr>
              <w:t>（26分）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运动员输送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14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本周期内，向上一级田径队输送过本单项运动员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1、1人计2分；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2、2人计4分；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3、3人及以上计6分。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6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训练成绩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1</w:t>
            </w:r>
            <w:r>
              <w:rPr>
                <w:rFonts w:ascii="黑体" w:eastAsia="黑体"/>
                <w:b/>
                <w:sz w:val="20"/>
                <w:szCs w:val="20"/>
              </w:rPr>
              <w:t>5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运动员每周训练次数达到2次 ，每次训练时间不低于60分钟，不高于90分钟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1</w:t>
            </w:r>
            <w:r>
              <w:rPr>
                <w:rFonts w:ascii="黑体" w:eastAsia="黑体"/>
                <w:b/>
                <w:sz w:val="20"/>
                <w:szCs w:val="20"/>
              </w:rPr>
              <w:t>6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参加基地集训及基地锦标赛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1、获得过第一名（6分）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2、获得过第二名（4分）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3、获得过第三名（2分）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6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1</w:t>
            </w:r>
            <w:r>
              <w:rPr>
                <w:rFonts w:ascii="黑体" w:eastAsia="黑体"/>
                <w:b/>
                <w:sz w:val="20"/>
                <w:szCs w:val="20"/>
              </w:rPr>
              <w:t>7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参加协会组织调训、集训、培训，无缺席的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比赛成绩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18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带训的运动员在本周期内省运会以上正式比赛中：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1、获得过第一名（8分）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2、获得过第二名（6分）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3、获得过第三名（4分）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4、获得过第四-八名（2分）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训练场地器材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6"/>
                <w:szCs w:val="16"/>
              </w:rPr>
              <w:t>（6分）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场地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19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有一座400米标准田径场。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训练场地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20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有使用面积60平米以上且通风、采光好的专项技术训练和身体素质训练馆（房）。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284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器材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21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训练器材先进齐全。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2"/>
              </w:rPr>
            </w:pPr>
            <w:r>
              <w:rPr>
                <w:rFonts w:hint="eastAsia" w:ascii="黑体" w:eastAsia="黑体"/>
                <w:b/>
                <w:sz w:val="20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431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科研设施设备</w:t>
            </w:r>
            <w:r>
              <w:rPr>
                <w:rFonts w:hint="eastAsia" w:ascii="黑体" w:eastAsia="黑体"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sz w:val="16"/>
                <w:szCs w:val="16"/>
              </w:rPr>
              <w:t>（4分）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科研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22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有医务、科研室。配备专职人员并符合医疗、科研工作要求，有专业的青少年心理辅导人员。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617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设备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23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选材、机能评定及训练检测设备齐全。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43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文化学习保障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6"/>
                <w:szCs w:val="16"/>
              </w:rPr>
              <w:t>（6分）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学习条件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24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有良好的文化学习条件，所有运动员都在全日制学校接受“九年制义务教育”。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451" w:hRule="atLeast"/>
          <w:jc w:val="center"/>
        </w:trPr>
        <w:tc>
          <w:tcPr>
            <w:tcW w:w="431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文化成绩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25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3659"/>
              </w:tabs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运动员参加基地文艺活动（2分）</w:t>
            </w:r>
          </w:p>
          <w:p>
            <w:pPr>
              <w:pStyle w:val="12"/>
              <w:numPr>
                <w:ilvl w:val="0"/>
                <w:numId w:val="5"/>
              </w:numPr>
              <w:spacing w:before="60" w:beforeLines="25" w:line="240" w:lineRule="auto"/>
              <w:ind w:firstLineChars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运动员文化课考试及格（2分）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思想政治教育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6"/>
                <w:szCs w:val="16"/>
              </w:rPr>
              <w:t>（2分）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思想政治教育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26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积极开展爱国主义教育，大力弘扬中华体育精神和奥林匹克精神，帮助青少年提高文化自信。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rPr>
          <w:trHeight w:val="708" w:hRule="atLeast"/>
          <w:jc w:val="center"/>
        </w:trPr>
        <w:tc>
          <w:tcPr>
            <w:tcW w:w="431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后勤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保障</w:t>
            </w:r>
          </w:p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16"/>
                <w:szCs w:val="16"/>
              </w:rPr>
              <w:t>（6分）</w:t>
            </w: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食宿条件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27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、在训运动员伙食良好（2分）</w:t>
            </w:r>
          </w:p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2、在训运动员住宿条件良好（2分）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422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0"/>
                <w:szCs w:val="20"/>
              </w:rPr>
              <w:t>训练恢复</w:t>
            </w:r>
          </w:p>
        </w:tc>
        <w:tc>
          <w:tcPr>
            <w:tcW w:w="389" w:type="pc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28</w:t>
            </w:r>
          </w:p>
        </w:tc>
        <w:tc>
          <w:tcPr>
            <w:tcW w:w="2570" w:type="pct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有洗热水澡和用于训练恢复的筋膜枪、泡沫轴、按摩棒、按摩椅等设施设备及相应的训练恢复器材。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0" w:hRule="atLeast"/>
          <w:jc w:val="center"/>
        </w:trPr>
        <w:tc>
          <w:tcPr>
            <w:tcW w:w="381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0" w:beforeLines="25" w:line="240" w:lineRule="auto"/>
              <w:ind w:left="105" w:left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总    分</w:t>
            </w:r>
          </w:p>
        </w:tc>
        <w:tc>
          <w:tcPr>
            <w:tcW w:w="370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pacing w:val="6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pacing w:val="6"/>
                <w:sz w:val="22"/>
                <w:szCs w:val="22"/>
              </w:rPr>
              <w:t>100</w:t>
            </w:r>
          </w:p>
        </w:tc>
        <w:tc>
          <w:tcPr>
            <w:tcW w:w="36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</w:tbl>
    <w:p>
      <w:pPr>
        <w:spacing w:line="240" w:lineRule="auto"/>
        <w:jc w:val="center"/>
        <w:rPr>
          <w:rFonts w:ascii="仿宋_GB2312" w:eastAsia="仿宋_GB2312"/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pgNumType w:start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FAE"/>
    <w:multiLevelType w:val="multilevel"/>
    <w:tmpl w:val="03591FAE"/>
    <w:lvl w:ilvl="0" w:tentative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146B0AA9"/>
    <w:multiLevelType w:val="multilevel"/>
    <w:tmpl w:val="146B0AA9"/>
    <w:lvl w:ilvl="0" w:tentative="0">
      <w:start w:val="1"/>
      <w:numFmt w:val="decimal"/>
      <w:lvlText w:val="%1、"/>
      <w:lvlJc w:val="left"/>
      <w:pPr>
        <w:ind w:left="4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90" w:hanging="420"/>
      </w:pPr>
    </w:lvl>
    <w:lvl w:ilvl="2" w:tentative="0">
      <w:start w:val="1"/>
      <w:numFmt w:val="lowerRoman"/>
      <w:lvlText w:val="%3."/>
      <w:lvlJc w:val="right"/>
      <w:pPr>
        <w:ind w:left="1310" w:hanging="420"/>
      </w:pPr>
    </w:lvl>
    <w:lvl w:ilvl="3" w:tentative="0">
      <w:start w:val="1"/>
      <w:numFmt w:val="decimal"/>
      <w:lvlText w:val="%4."/>
      <w:lvlJc w:val="left"/>
      <w:pPr>
        <w:ind w:left="1730" w:hanging="420"/>
      </w:pPr>
    </w:lvl>
    <w:lvl w:ilvl="4" w:tentative="0">
      <w:start w:val="1"/>
      <w:numFmt w:val="lowerLetter"/>
      <w:lvlText w:val="%5)"/>
      <w:lvlJc w:val="left"/>
      <w:pPr>
        <w:ind w:left="2150" w:hanging="420"/>
      </w:pPr>
    </w:lvl>
    <w:lvl w:ilvl="5" w:tentative="0">
      <w:start w:val="1"/>
      <w:numFmt w:val="lowerRoman"/>
      <w:lvlText w:val="%6."/>
      <w:lvlJc w:val="right"/>
      <w:pPr>
        <w:ind w:left="2570" w:hanging="420"/>
      </w:pPr>
    </w:lvl>
    <w:lvl w:ilvl="6" w:tentative="0">
      <w:start w:val="1"/>
      <w:numFmt w:val="decimal"/>
      <w:lvlText w:val="%7."/>
      <w:lvlJc w:val="left"/>
      <w:pPr>
        <w:ind w:left="2990" w:hanging="420"/>
      </w:pPr>
    </w:lvl>
    <w:lvl w:ilvl="7" w:tentative="0">
      <w:start w:val="1"/>
      <w:numFmt w:val="lowerLetter"/>
      <w:lvlText w:val="%8)"/>
      <w:lvlJc w:val="left"/>
      <w:pPr>
        <w:ind w:left="3410" w:hanging="420"/>
      </w:pPr>
    </w:lvl>
    <w:lvl w:ilvl="8" w:tentative="0">
      <w:start w:val="1"/>
      <w:numFmt w:val="lowerRoman"/>
      <w:lvlText w:val="%9."/>
      <w:lvlJc w:val="right"/>
      <w:pPr>
        <w:ind w:left="3830" w:hanging="420"/>
      </w:pPr>
    </w:lvl>
  </w:abstractNum>
  <w:abstractNum w:abstractNumId="2">
    <w:nsid w:val="2F940AA7"/>
    <w:multiLevelType w:val="multilevel"/>
    <w:tmpl w:val="2F940AA7"/>
    <w:lvl w:ilvl="0" w:tentative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46FD2B49"/>
    <w:multiLevelType w:val="multilevel"/>
    <w:tmpl w:val="46FD2B49"/>
    <w:lvl w:ilvl="0" w:tentative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517C55E1"/>
    <w:multiLevelType w:val="multilevel"/>
    <w:tmpl w:val="517C55E1"/>
    <w:lvl w:ilvl="0" w:tentative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EB"/>
    <w:rsid w:val="00002CB6"/>
    <w:rsid w:val="0001648C"/>
    <w:rsid w:val="000303A1"/>
    <w:rsid w:val="00031BA1"/>
    <w:rsid w:val="000355AD"/>
    <w:rsid w:val="00037E90"/>
    <w:rsid w:val="000443EA"/>
    <w:rsid w:val="0004504C"/>
    <w:rsid w:val="00053E02"/>
    <w:rsid w:val="00054903"/>
    <w:rsid w:val="00056C24"/>
    <w:rsid w:val="0006252F"/>
    <w:rsid w:val="000645E9"/>
    <w:rsid w:val="00065578"/>
    <w:rsid w:val="00074C40"/>
    <w:rsid w:val="00093034"/>
    <w:rsid w:val="00093A9D"/>
    <w:rsid w:val="00097726"/>
    <w:rsid w:val="000B0A39"/>
    <w:rsid w:val="000B7D97"/>
    <w:rsid w:val="000C045D"/>
    <w:rsid w:val="000C41F2"/>
    <w:rsid w:val="000D3BCE"/>
    <w:rsid w:val="000D40FD"/>
    <w:rsid w:val="000D4F75"/>
    <w:rsid w:val="000D72EA"/>
    <w:rsid w:val="000E0CBC"/>
    <w:rsid w:val="000E6E1F"/>
    <w:rsid w:val="000F2419"/>
    <w:rsid w:val="000F51B4"/>
    <w:rsid w:val="00103905"/>
    <w:rsid w:val="00103AAB"/>
    <w:rsid w:val="0011739F"/>
    <w:rsid w:val="00120AF0"/>
    <w:rsid w:val="001323E8"/>
    <w:rsid w:val="00136A14"/>
    <w:rsid w:val="00141F1B"/>
    <w:rsid w:val="00146CAE"/>
    <w:rsid w:val="00147600"/>
    <w:rsid w:val="001513B3"/>
    <w:rsid w:val="001530BC"/>
    <w:rsid w:val="001537C9"/>
    <w:rsid w:val="0015473E"/>
    <w:rsid w:val="001910B8"/>
    <w:rsid w:val="0019371B"/>
    <w:rsid w:val="001961B9"/>
    <w:rsid w:val="001A0CE4"/>
    <w:rsid w:val="001A2A70"/>
    <w:rsid w:val="001A730F"/>
    <w:rsid w:val="001B2334"/>
    <w:rsid w:val="001C23E1"/>
    <w:rsid w:val="001D4AA3"/>
    <w:rsid w:val="001D4D95"/>
    <w:rsid w:val="001D76D5"/>
    <w:rsid w:val="001F0D7F"/>
    <w:rsid w:val="001F3908"/>
    <w:rsid w:val="001F621E"/>
    <w:rsid w:val="00203C46"/>
    <w:rsid w:val="00210CDD"/>
    <w:rsid w:val="002162ED"/>
    <w:rsid w:val="00221635"/>
    <w:rsid w:val="002219EC"/>
    <w:rsid w:val="002421A4"/>
    <w:rsid w:val="00246B20"/>
    <w:rsid w:val="00264078"/>
    <w:rsid w:val="00273147"/>
    <w:rsid w:val="002A5B46"/>
    <w:rsid w:val="002A6DB7"/>
    <w:rsid w:val="002A7EC4"/>
    <w:rsid w:val="002B15B2"/>
    <w:rsid w:val="002B31E9"/>
    <w:rsid w:val="002B7D9E"/>
    <w:rsid w:val="002D0470"/>
    <w:rsid w:val="002D683E"/>
    <w:rsid w:val="002E0CF3"/>
    <w:rsid w:val="003072C5"/>
    <w:rsid w:val="00307DA9"/>
    <w:rsid w:val="00310676"/>
    <w:rsid w:val="00321B17"/>
    <w:rsid w:val="00321F47"/>
    <w:rsid w:val="0032275F"/>
    <w:rsid w:val="00324D8F"/>
    <w:rsid w:val="00326A1B"/>
    <w:rsid w:val="00333281"/>
    <w:rsid w:val="003451D7"/>
    <w:rsid w:val="00345487"/>
    <w:rsid w:val="00354949"/>
    <w:rsid w:val="003575E5"/>
    <w:rsid w:val="00366527"/>
    <w:rsid w:val="00367097"/>
    <w:rsid w:val="003730D8"/>
    <w:rsid w:val="00390CA5"/>
    <w:rsid w:val="003B4BFB"/>
    <w:rsid w:val="003C2C6C"/>
    <w:rsid w:val="003D7E15"/>
    <w:rsid w:val="003E0811"/>
    <w:rsid w:val="003E3139"/>
    <w:rsid w:val="003F4F7A"/>
    <w:rsid w:val="003F5EA6"/>
    <w:rsid w:val="003F760B"/>
    <w:rsid w:val="00400098"/>
    <w:rsid w:val="00400890"/>
    <w:rsid w:val="004214F3"/>
    <w:rsid w:val="00421628"/>
    <w:rsid w:val="00430309"/>
    <w:rsid w:val="004354E5"/>
    <w:rsid w:val="004356BA"/>
    <w:rsid w:val="004445CE"/>
    <w:rsid w:val="004663BA"/>
    <w:rsid w:val="004B5E20"/>
    <w:rsid w:val="004B71FF"/>
    <w:rsid w:val="004E0A23"/>
    <w:rsid w:val="004E430F"/>
    <w:rsid w:val="004E5547"/>
    <w:rsid w:val="004F68FE"/>
    <w:rsid w:val="005032A0"/>
    <w:rsid w:val="0050676D"/>
    <w:rsid w:val="00524135"/>
    <w:rsid w:val="00524844"/>
    <w:rsid w:val="00526642"/>
    <w:rsid w:val="00530D15"/>
    <w:rsid w:val="00534418"/>
    <w:rsid w:val="005353C5"/>
    <w:rsid w:val="00537815"/>
    <w:rsid w:val="00540B79"/>
    <w:rsid w:val="00545181"/>
    <w:rsid w:val="00546A32"/>
    <w:rsid w:val="00554CC5"/>
    <w:rsid w:val="005635C2"/>
    <w:rsid w:val="00564212"/>
    <w:rsid w:val="00575276"/>
    <w:rsid w:val="00576ECE"/>
    <w:rsid w:val="00577945"/>
    <w:rsid w:val="00596758"/>
    <w:rsid w:val="005A169C"/>
    <w:rsid w:val="005A2DE3"/>
    <w:rsid w:val="005A41E4"/>
    <w:rsid w:val="005B03A1"/>
    <w:rsid w:val="005B0878"/>
    <w:rsid w:val="005B2044"/>
    <w:rsid w:val="005B6502"/>
    <w:rsid w:val="005C1C2A"/>
    <w:rsid w:val="005D54A5"/>
    <w:rsid w:val="005E20C3"/>
    <w:rsid w:val="005E245E"/>
    <w:rsid w:val="005E6912"/>
    <w:rsid w:val="005F43D1"/>
    <w:rsid w:val="005F5391"/>
    <w:rsid w:val="006040A0"/>
    <w:rsid w:val="00612C68"/>
    <w:rsid w:val="00620EAC"/>
    <w:rsid w:val="00625CDE"/>
    <w:rsid w:val="0063083C"/>
    <w:rsid w:val="00640777"/>
    <w:rsid w:val="0064285E"/>
    <w:rsid w:val="00644A5F"/>
    <w:rsid w:val="00673A53"/>
    <w:rsid w:val="006848DF"/>
    <w:rsid w:val="00685E9F"/>
    <w:rsid w:val="00686C8E"/>
    <w:rsid w:val="006A5159"/>
    <w:rsid w:val="006C4A2D"/>
    <w:rsid w:val="006D3DF8"/>
    <w:rsid w:val="006D6EA7"/>
    <w:rsid w:val="006E0717"/>
    <w:rsid w:val="007077F2"/>
    <w:rsid w:val="00715DE7"/>
    <w:rsid w:val="0071792E"/>
    <w:rsid w:val="00717B16"/>
    <w:rsid w:val="0072035D"/>
    <w:rsid w:val="007272F0"/>
    <w:rsid w:val="0073079A"/>
    <w:rsid w:val="007373CB"/>
    <w:rsid w:val="00742879"/>
    <w:rsid w:val="00756F03"/>
    <w:rsid w:val="00760351"/>
    <w:rsid w:val="007656AD"/>
    <w:rsid w:val="007712FD"/>
    <w:rsid w:val="00773C6C"/>
    <w:rsid w:val="0077421F"/>
    <w:rsid w:val="0077784C"/>
    <w:rsid w:val="00786F5B"/>
    <w:rsid w:val="0079316D"/>
    <w:rsid w:val="007965E7"/>
    <w:rsid w:val="007A44E0"/>
    <w:rsid w:val="007A4C4D"/>
    <w:rsid w:val="007B285A"/>
    <w:rsid w:val="007E46BA"/>
    <w:rsid w:val="00807376"/>
    <w:rsid w:val="00821097"/>
    <w:rsid w:val="0082424A"/>
    <w:rsid w:val="00843563"/>
    <w:rsid w:val="00844ED2"/>
    <w:rsid w:val="00860749"/>
    <w:rsid w:val="00861409"/>
    <w:rsid w:val="00866D10"/>
    <w:rsid w:val="00867A73"/>
    <w:rsid w:val="00890D9D"/>
    <w:rsid w:val="008917E0"/>
    <w:rsid w:val="00895431"/>
    <w:rsid w:val="008A2B12"/>
    <w:rsid w:val="008B7A7D"/>
    <w:rsid w:val="008C3A82"/>
    <w:rsid w:val="008C5B3F"/>
    <w:rsid w:val="008E0221"/>
    <w:rsid w:val="008E6EE0"/>
    <w:rsid w:val="008F0007"/>
    <w:rsid w:val="008F290C"/>
    <w:rsid w:val="009062E0"/>
    <w:rsid w:val="00917A63"/>
    <w:rsid w:val="00937881"/>
    <w:rsid w:val="00946242"/>
    <w:rsid w:val="00964AED"/>
    <w:rsid w:val="00966BB8"/>
    <w:rsid w:val="009723CB"/>
    <w:rsid w:val="00975A13"/>
    <w:rsid w:val="00983390"/>
    <w:rsid w:val="009A7C9C"/>
    <w:rsid w:val="009B0E8B"/>
    <w:rsid w:val="009B5995"/>
    <w:rsid w:val="009B5B15"/>
    <w:rsid w:val="009B63E1"/>
    <w:rsid w:val="009C3939"/>
    <w:rsid w:val="009C4130"/>
    <w:rsid w:val="009D7573"/>
    <w:rsid w:val="009E1A09"/>
    <w:rsid w:val="009E35ED"/>
    <w:rsid w:val="009F6DAA"/>
    <w:rsid w:val="00A053B8"/>
    <w:rsid w:val="00A13C19"/>
    <w:rsid w:val="00A46BC9"/>
    <w:rsid w:val="00A52791"/>
    <w:rsid w:val="00A606F3"/>
    <w:rsid w:val="00A615CD"/>
    <w:rsid w:val="00A81BAB"/>
    <w:rsid w:val="00A94AB9"/>
    <w:rsid w:val="00A97C81"/>
    <w:rsid w:val="00A97E74"/>
    <w:rsid w:val="00AA13EC"/>
    <w:rsid w:val="00AA7544"/>
    <w:rsid w:val="00AB2E07"/>
    <w:rsid w:val="00AB30F5"/>
    <w:rsid w:val="00AC2111"/>
    <w:rsid w:val="00AC23DE"/>
    <w:rsid w:val="00AE2610"/>
    <w:rsid w:val="00AE270A"/>
    <w:rsid w:val="00AE79CD"/>
    <w:rsid w:val="00B04F12"/>
    <w:rsid w:val="00B0799A"/>
    <w:rsid w:val="00B13A78"/>
    <w:rsid w:val="00B3303A"/>
    <w:rsid w:val="00B3686D"/>
    <w:rsid w:val="00B4317A"/>
    <w:rsid w:val="00B47823"/>
    <w:rsid w:val="00B631D0"/>
    <w:rsid w:val="00B6352F"/>
    <w:rsid w:val="00B63749"/>
    <w:rsid w:val="00B65254"/>
    <w:rsid w:val="00B65CD0"/>
    <w:rsid w:val="00B71268"/>
    <w:rsid w:val="00B777B9"/>
    <w:rsid w:val="00B8261D"/>
    <w:rsid w:val="00B92554"/>
    <w:rsid w:val="00BA03A0"/>
    <w:rsid w:val="00BB014A"/>
    <w:rsid w:val="00BB092C"/>
    <w:rsid w:val="00BC0D8A"/>
    <w:rsid w:val="00BD1310"/>
    <w:rsid w:val="00BD23BB"/>
    <w:rsid w:val="00BD3E0E"/>
    <w:rsid w:val="00BD7F1B"/>
    <w:rsid w:val="00BE4587"/>
    <w:rsid w:val="00BE4931"/>
    <w:rsid w:val="00BE4CF2"/>
    <w:rsid w:val="00BE7D47"/>
    <w:rsid w:val="00BF0543"/>
    <w:rsid w:val="00BF2392"/>
    <w:rsid w:val="00BF4391"/>
    <w:rsid w:val="00BF63FB"/>
    <w:rsid w:val="00C11CC1"/>
    <w:rsid w:val="00C15EE6"/>
    <w:rsid w:val="00C20B58"/>
    <w:rsid w:val="00C2564C"/>
    <w:rsid w:val="00C31286"/>
    <w:rsid w:val="00C31EAE"/>
    <w:rsid w:val="00C62074"/>
    <w:rsid w:val="00C62776"/>
    <w:rsid w:val="00C62B91"/>
    <w:rsid w:val="00C663F4"/>
    <w:rsid w:val="00C66A3E"/>
    <w:rsid w:val="00C853DE"/>
    <w:rsid w:val="00C90EFB"/>
    <w:rsid w:val="00C92D34"/>
    <w:rsid w:val="00CA0F0E"/>
    <w:rsid w:val="00CA1A6F"/>
    <w:rsid w:val="00CA21A6"/>
    <w:rsid w:val="00CA5FFF"/>
    <w:rsid w:val="00CB05A3"/>
    <w:rsid w:val="00CB5D8E"/>
    <w:rsid w:val="00CE4B43"/>
    <w:rsid w:val="00CE739C"/>
    <w:rsid w:val="00D04188"/>
    <w:rsid w:val="00D06B17"/>
    <w:rsid w:val="00D2056E"/>
    <w:rsid w:val="00D262D4"/>
    <w:rsid w:val="00D47577"/>
    <w:rsid w:val="00D53462"/>
    <w:rsid w:val="00D55D95"/>
    <w:rsid w:val="00D66561"/>
    <w:rsid w:val="00D67611"/>
    <w:rsid w:val="00D80865"/>
    <w:rsid w:val="00D86AC8"/>
    <w:rsid w:val="00D95522"/>
    <w:rsid w:val="00D97921"/>
    <w:rsid w:val="00DA1E81"/>
    <w:rsid w:val="00DA508D"/>
    <w:rsid w:val="00DA7FFE"/>
    <w:rsid w:val="00DB1227"/>
    <w:rsid w:val="00DB5D87"/>
    <w:rsid w:val="00DB704D"/>
    <w:rsid w:val="00DC0670"/>
    <w:rsid w:val="00DC1BC1"/>
    <w:rsid w:val="00DC3FF7"/>
    <w:rsid w:val="00DC5CFF"/>
    <w:rsid w:val="00DE61AB"/>
    <w:rsid w:val="00DF033E"/>
    <w:rsid w:val="00DF24CC"/>
    <w:rsid w:val="00E043BF"/>
    <w:rsid w:val="00E15732"/>
    <w:rsid w:val="00E312DB"/>
    <w:rsid w:val="00E312F2"/>
    <w:rsid w:val="00E37269"/>
    <w:rsid w:val="00E37731"/>
    <w:rsid w:val="00E41CFB"/>
    <w:rsid w:val="00E60055"/>
    <w:rsid w:val="00E6113A"/>
    <w:rsid w:val="00E6191C"/>
    <w:rsid w:val="00E6298A"/>
    <w:rsid w:val="00E6343C"/>
    <w:rsid w:val="00E67494"/>
    <w:rsid w:val="00E6794A"/>
    <w:rsid w:val="00E73ECA"/>
    <w:rsid w:val="00E77B9B"/>
    <w:rsid w:val="00E82EBA"/>
    <w:rsid w:val="00E8773F"/>
    <w:rsid w:val="00E93D50"/>
    <w:rsid w:val="00EA64D5"/>
    <w:rsid w:val="00EA7D75"/>
    <w:rsid w:val="00EB307A"/>
    <w:rsid w:val="00EB42C5"/>
    <w:rsid w:val="00EE0135"/>
    <w:rsid w:val="00EE6F3C"/>
    <w:rsid w:val="00EF152C"/>
    <w:rsid w:val="00EF55A1"/>
    <w:rsid w:val="00EF72D1"/>
    <w:rsid w:val="00F01B82"/>
    <w:rsid w:val="00F17BEB"/>
    <w:rsid w:val="00F20761"/>
    <w:rsid w:val="00F215F0"/>
    <w:rsid w:val="00F2323E"/>
    <w:rsid w:val="00F27A19"/>
    <w:rsid w:val="00F408E5"/>
    <w:rsid w:val="00F479EB"/>
    <w:rsid w:val="00F5274D"/>
    <w:rsid w:val="00F556D4"/>
    <w:rsid w:val="00F65603"/>
    <w:rsid w:val="00F71DFB"/>
    <w:rsid w:val="00F81021"/>
    <w:rsid w:val="00F925FC"/>
    <w:rsid w:val="00F93293"/>
    <w:rsid w:val="00F94DF0"/>
    <w:rsid w:val="00F964B6"/>
    <w:rsid w:val="00FA44DE"/>
    <w:rsid w:val="00FB31C1"/>
    <w:rsid w:val="00FB50A7"/>
    <w:rsid w:val="00FC4CA4"/>
    <w:rsid w:val="00FC52CE"/>
    <w:rsid w:val="00FC73E5"/>
    <w:rsid w:val="00FD5261"/>
    <w:rsid w:val="00FD5F22"/>
    <w:rsid w:val="00FD6213"/>
    <w:rsid w:val="00FE3379"/>
    <w:rsid w:val="00FF41D9"/>
    <w:rsid w:val="013C4432"/>
    <w:rsid w:val="093D6E6E"/>
    <w:rsid w:val="10EA5DE1"/>
    <w:rsid w:val="1A7B3B0A"/>
    <w:rsid w:val="1C127BE6"/>
    <w:rsid w:val="1C3A4246"/>
    <w:rsid w:val="276F6D10"/>
    <w:rsid w:val="2B694BB1"/>
    <w:rsid w:val="2BAD5986"/>
    <w:rsid w:val="2FE638BF"/>
    <w:rsid w:val="34D576D3"/>
    <w:rsid w:val="421702F0"/>
    <w:rsid w:val="42F54534"/>
    <w:rsid w:val="43C52237"/>
    <w:rsid w:val="50A206DD"/>
    <w:rsid w:val="53A13BA8"/>
    <w:rsid w:val="57CD0414"/>
    <w:rsid w:val="58D91BFA"/>
    <w:rsid w:val="5A817B90"/>
    <w:rsid w:val="5C3A4B29"/>
    <w:rsid w:val="6B963D52"/>
    <w:rsid w:val="6CB512C6"/>
    <w:rsid w:val="70AE3C17"/>
    <w:rsid w:val="7E2C624D"/>
    <w:rsid w:val="7FE7B082"/>
    <w:rsid w:val="FFD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tyzj</Company>
  <Pages>2</Pages>
  <Words>253</Words>
  <Characters>1447</Characters>
  <Lines>12</Lines>
  <Paragraphs>3</Paragraphs>
  <ScaleCrop>false</ScaleCrop>
  <LinksUpToDate>false</LinksUpToDate>
  <CharactersWithSpaces>1697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2020-02-28T21:51:00Z</dcterms:created>
  <dc:creator>hy</dc:creator>
  <cp:lastModifiedBy>zhaoran</cp:lastModifiedBy>
  <cp:lastPrinted>2016-12-15T00:41:00Z</cp:lastPrinted>
  <dcterms:modified xsi:type="dcterms:W3CDTF">2021-06-15T14:36:24Z</dcterms:modified>
  <dc:title>附件4</dc:title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