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spacing w:line="320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保险服务方案</w:t>
      </w:r>
    </w:p>
    <w:p>
      <w:pPr>
        <w:spacing w:line="320" w:lineRule="atLeast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附加意外</w:t>
            </w:r>
          </w:p>
          <w:p>
            <w:pPr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方案1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医疗费用100元</w:t>
            </w:r>
          </w:p>
          <w:p>
            <w:pPr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方案2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2万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医疗费用100元</w:t>
            </w:r>
          </w:p>
          <w:p>
            <w:pPr>
              <w:shd w:val="clear" w:color="auto" w:fill="FFFFFF"/>
              <w:spacing w:line="560" w:lineRule="exact"/>
              <w:ind w:left="-107" w:leftChars="-51" w:right="-50" w:rightChars="-24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53元/人</w:t>
            </w:r>
          </w:p>
        </w:tc>
      </w:tr>
    </w:tbl>
    <w:p>
      <w:pPr>
        <w:shd w:val="clear" w:color="auto" w:fill="FFFFFF"/>
        <w:spacing w:before="100" w:after="100" w:line="520" w:lineRule="exact"/>
        <w:ind w:firstLine="150" w:firstLineChars="5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北京中体保险经纪有限公司服务人员联系方式：</w:t>
      </w:r>
    </w:p>
    <w:tbl>
      <w:tblPr>
        <w:tblStyle w:val="2"/>
        <w:tblW w:w="91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984"/>
        <w:gridCol w:w="2835"/>
        <w:gridCol w:w="3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座机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  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ind w:left="-105" w:leftChars="-50" w:right="-105" w:rightChars="-5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15010527732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010-67162121-8013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before="100" w:after="100"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仿宋_GB2312"/>
                <w:sz w:val="28"/>
                <w:szCs w:val="28"/>
              </w:rPr>
              <w:instrText xml:space="preserve">HYPERLINK "mailto:shichangbu@ztbx.com"</w:instrText>
            </w:r>
            <w:r>
              <w:rPr>
                <w:rFonts w:ascii="仿宋" w:hAnsi="仿宋" w:eastAsia="仿宋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shichangbu@ztbx.com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地址：北京市东城区天坛东路50号国家体育总局训练局院内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hd w:val="clear" w:color="auto" w:fill="FFFFFF"/>
              <w:spacing w:before="100" w:after="100" w:line="52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邮编: 100061    传真：010-67184566   总机：010-67162121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4128"/>
    <w:rsid w:val="1D5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2021-06-04T02:38:00Z</dcterms:created>
  <dc:creator>❤️Chloe M</dc:creator>
  <cp:lastModifiedBy>❤️Chloe M</cp:lastModifiedBy>
  <dcterms:modified xsi:type="dcterms:W3CDTF">2021-06-04T02:38:37Z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C6B9DA58030247ECB6F99D8B8202AE4E</vt:lpwstr>
  </property>
</Properties>
</file>