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D7712" w14:textId="1CF37565" w:rsidR="006A096A" w:rsidRDefault="000A30AD">
      <w:pPr>
        <w:tabs>
          <w:tab w:val="left" w:pos="7938"/>
        </w:tabs>
        <w:jc w:val="center"/>
        <w:rPr>
          <w:sz w:val="36"/>
          <w:szCs w:val="36"/>
        </w:rPr>
      </w:pPr>
      <w:r w:rsidRPr="000A30AD">
        <w:rPr>
          <w:rFonts w:hint="eastAsia"/>
          <w:sz w:val="36"/>
          <w:szCs w:val="36"/>
        </w:rPr>
        <w:t>2021</w:t>
      </w:r>
      <w:r w:rsidRPr="000A30AD">
        <w:rPr>
          <w:rFonts w:hint="eastAsia"/>
          <w:sz w:val="36"/>
          <w:szCs w:val="36"/>
        </w:rPr>
        <w:t>年全国少年羽毛球训练营</w:t>
      </w:r>
      <w:r w:rsidR="00A57E8A">
        <w:rPr>
          <w:rFonts w:hint="eastAsia"/>
          <w:sz w:val="36"/>
          <w:szCs w:val="36"/>
        </w:rPr>
        <w:t>承办基本要求</w:t>
      </w:r>
    </w:p>
    <w:p w14:paraId="31DDC847" w14:textId="77777777" w:rsidR="006A096A" w:rsidRDefault="00A57E8A">
      <w:pPr>
        <w:pStyle w:val="a3"/>
        <w:numPr>
          <w:ilvl w:val="0"/>
          <w:numId w:val="1"/>
        </w:numPr>
        <w:tabs>
          <w:tab w:val="left" w:pos="7938"/>
        </w:tabs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比赛场馆要求</w:t>
      </w:r>
    </w:p>
    <w:p w14:paraId="2459245C" w14:textId="0C193FA7" w:rsidR="006A096A" w:rsidRDefault="00A57E8A">
      <w:pPr>
        <w:pStyle w:val="a3"/>
        <w:numPr>
          <w:ilvl w:val="0"/>
          <w:numId w:val="2"/>
        </w:numPr>
        <w:tabs>
          <w:tab w:val="left" w:pos="7938"/>
        </w:tabs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场馆内场有效面积可容纳至少</w:t>
      </w:r>
      <w:r w:rsidR="005F7FEF"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片羽毛球场地及场地周围全部设施。场地须是木制弹性地板上铺经批准的防滑地胶。</w:t>
      </w:r>
    </w:p>
    <w:p w14:paraId="0AD4ABBA" w14:textId="77777777" w:rsidR="006A096A" w:rsidRDefault="00A57E8A">
      <w:pPr>
        <w:pStyle w:val="a3"/>
        <w:numPr>
          <w:ilvl w:val="0"/>
          <w:numId w:val="2"/>
        </w:numPr>
        <w:tabs>
          <w:tab w:val="left" w:pos="7938"/>
        </w:tabs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场馆高度必须大于</w:t>
      </w:r>
      <w:r>
        <w:rPr>
          <w:rFonts w:ascii="仿宋" w:eastAsia="仿宋" w:hAnsi="仿宋" w:hint="eastAsia"/>
          <w:sz w:val="32"/>
          <w:szCs w:val="32"/>
        </w:rPr>
        <w:t>12米且上空高度内，没有横梁或其他障碍物</w:t>
      </w:r>
    </w:p>
    <w:p w14:paraId="1BCCAAEE" w14:textId="325FB232" w:rsidR="006A096A" w:rsidRDefault="005F7FEF">
      <w:pPr>
        <w:pStyle w:val="a3"/>
        <w:numPr>
          <w:ilvl w:val="0"/>
          <w:numId w:val="2"/>
        </w:numPr>
        <w:tabs>
          <w:tab w:val="left" w:pos="7938"/>
        </w:tabs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场馆的</w:t>
      </w:r>
      <w:r w:rsidR="00A57E8A">
        <w:rPr>
          <w:rFonts w:ascii="仿宋" w:eastAsia="仿宋" w:hAnsi="仿宋"/>
          <w:sz w:val="32"/>
          <w:szCs w:val="32"/>
        </w:rPr>
        <w:t>照度须符合</w:t>
      </w:r>
      <w:r>
        <w:rPr>
          <w:rFonts w:ascii="仿宋" w:eastAsia="仿宋" w:hAnsi="仿宋" w:hint="eastAsia"/>
          <w:sz w:val="32"/>
          <w:szCs w:val="32"/>
        </w:rPr>
        <w:t>训练</w:t>
      </w:r>
      <w:r w:rsidR="00A57E8A">
        <w:rPr>
          <w:rFonts w:ascii="仿宋" w:eastAsia="仿宋" w:hAnsi="仿宋"/>
          <w:sz w:val="32"/>
          <w:szCs w:val="32"/>
        </w:rPr>
        <w:t>要求</w:t>
      </w:r>
      <w:r w:rsidR="00A57E8A">
        <w:rPr>
          <w:rFonts w:ascii="仿宋" w:eastAsia="仿宋" w:hAnsi="仿宋" w:hint="eastAsia"/>
          <w:sz w:val="32"/>
          <w:szCs w:val="32"/>
        </w:rPr>
        <w:t>，</w:t>
      </w:r>
      <w:r w:rsidR="00A57E8A">
        <w:rPr>
          <w:rFonts w:ascii="仿宋" w:eastAsia="仿宋" w:hAnsi="仿宋"/>
          <w:sz w:val="32"/>
          <w:szCs w:val="32"/>
        </w:rPr>
        <w:t>场地照度不低于</w:t>
      </w:r>
      <w:r w:rsidR="00A57E8A">
        <w:rPr>
          <w:rFonts w:ascii="仿宋" w:eastAsia="仿宋" w:hAnsi="仿宋" w:hint="eastAsia"/>
          <w:sz w:val="32"/>
          <w:szCs w:val="32"/>
        </w:rPr>
        <w:t>800</w:t>
      </w:r>
      <w:proofErr w:type="gramStart"/>
      <w:r w:rsidR="00A57E8A">
        <w:rPr>
          <w:rFonts w:ascii="仿宋" w:eastAsia="仿宋" w:hAnsi="仿宋" w:hint="eastAsia"/>
          <w:sz w:val="32"/>
          <w:szCs w:val="32"/>
        </w:rPr>
        <w:t>勒司且照度</w:t>
      </w:r>
      <w:proofErr w:type="gramEnd"/>
      <w:r w:rsidR="00A57E8A">
        <w:rPr>
          <w:rFonts w:ascii="仿宋" w:eastAsia="仿宋" w:hAnsi="仿宋" w:hint="eastAsia"/>
          <w:sz w:val="32"/>
          <w:szCs w:val="32"/>
        </w:rPr>
        <w:t>均匀；场馆内不得有直射的自然光和反光。</w:t>
      </w:r>
    </w:p>
    <w:p w14:paraId="62D85292" w14:textId="4FE202C7" w:rsidR="006A096A" w:rsidRPr="005F7FEF" w:rsidRDefault="00A57E8A" w:rsidP="005F7FEF">
      <w:pPr>
        <w:pStyle w:val="a3"/>
        <w:numPr>
          <w:ilvl w:val="0"/>
          <w:numId w:val="2"/>
        </w:numPr>
        <w:tabs>
          <w:tab w:val="left" w:pos="7938"/>
        </w:tabs>
        <w:ind w:firstLineChars="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场馆要具备遮挡自然光源的功能</w:t>
      </w:r>
      <w:r>
        <w:rPr>
          <w:rFonts w:ascii="仿宋" w:eastAsia="仿宋" w:hAnsi="仿宋" w:hint="eastAsia"/>
          <w:sz w:val="32"/>
          <w:szCs w:val="32"/>
        </w:rPr>
        <w:t>，并具备可以掌控或排除比赛场地上所有气流的能力。</w:t>
      </w:r>
    </w:p>
    <w:p w14:paraId="1FE49284" w14:textId="77777777" w:rsidR="006A096A" w:rsidRDefault="00A57E8A">
      <w:pPr>
        <w:pStyle w:val="a3"/>
        <w:numPr>
          <w:ilvl w:val="0"/>
          <w:numId w:val="2"/>
        </w:numPr>
        <w:tabs>
          <w:tab w:val="left" w:pos="7938"/>
        </w:tabs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承办方要提供比赛场馆示意图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比赛场馆内外照片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以及其他相关的补充材料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1ED5A5E0" w14:textId="77777777" w:rsidR="006A096A" w:rsidRDefault="00A57E8A">
      <w:pPr>
        <w:pStyle w:val="a3"/>
        <w:numPr>
          <w:ilvl w:val="0"/>
          <w:numId w:val="1"/>
        </w:numPr>
        <w:tabs>
          <w:tab w:val="left" w:pos="7938"/>
        </w:tabs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接待宾馆要求</w:t>
      </w:r>
    </w:p>
    <w:p w14:paraId="7698A53D" w14:textId="578EF884" w:rsidR="006A096A" w:rsidRPr="005F7FEF" w:rsidRDefault="00A57E8A" w:rsidP="005F7FEF">
      <w:pPr>
        <w:pStyle w:val="a3"/>
        <w:numPr>
          <w:ilvl w:val="0"/>
          <w:numId w:val="3"/>
        </w:numPr>
        <w:tabs>
          <w:tab w:val="left" w:pos="7938"/>
        </w:tabs>
        <w:ind w:firstLineChars="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接待宾馆要求</w:t>
      </w:r>
      <w:r w:rsidR="005F7FEF">
        <w:rPr>
          <w:rFonts w:ascii="仿宋" w:eastAsia="仿宋" w:hAnsi="仿宋" w:hint="eastAsia"/>
          <w:sz w:val="32"/>
          <w:szCs w:val="32"/>
        </w:rPr>
        <w:t>吃、住、训练为一体。</w:t>
      </w:r>
    </w:p>
    <w:p w14:paraId="1ECE49D0" w14:textId="77777777" w:rsidR="006A096A" w:rsidRDefault="00A57E8A">
      <w:pPr>
        <w:pStyle w:val="a3"/>
        <w:numPr>
          <w:ilvl w:val="0"/>
          <w:numId w:val="1"/>
        </w:numPr>
        <w:tabs>
          <w:tab w:val="left" w:pos="7938"/>
        </w:tabs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筹办比赛经费来源</w:t>
      </w:r>
    </w:p>
    <w:p w14:paraId="6AF2744C" w14:textId="22E0CD0D" w:rsidR="006A096A" w:rsidRDefault="00A57E8A">
      <w:pPr>
        <w:pStyle w:val="a3"/>
        <w:numPr>
          <w:ilvl w:val="0"/>
          <w:numId w:val="6"/>
        </w:numPr>
        <w:tabs>
          <w:tab w:val="left" w:pos="7938"/>
        </w:tabs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承办方必须提供详细的经费来源及经费预算</w:t>
      </w:r>
    </w:p>
    <w:p w14:paraId="7264693D" w14:textId="77777777" w:rsidR="006A096A" w:rsidRDefault="00A57E8A">
      <w:pPr>
        <w:pStyle w:val="a3"/>
        <w:numPr>
          <w:ilvl w:val="0"/>
          <w:numId w:val="6"/>
        </w:numPr>
        <w:tabs>
          <w:tab w:val="left" w:pos="7938"/>
        </w:tabs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经费来源可为赞助经费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广告经费及政府拨款等</w:t>
      </w:r>
      <w:r>
        <w:rPr>
          <w:rFonts w:ascii="仿宋" w:eastAsia="仿宋" w:hAnsi="仿宋" w:hint="eastAsia"/>
          <w:sz w:val="32"/>
          <w:szCs w:val="32"/>
        </w:rPr>
        <w:t xml:space="preserve">      </w:t>
      </w:r>
    </w:p>
    <w:p w14:paraId="11263D14" w14:textId="22B70CC1" w:rsidR="006A096A" w:rsidRDefault="00A57E8A">
      <w:pPr>
        <w:pStyle w:val="a3"/>
        <w:numPr>
          <w:ilvl w:val="0"/>
          <w:numId w:val="6"/>
        </w:numPr>
        <w:tabs>
          <w:tab w:val="left" w:pos="7938"/>
        </w:tabs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全国少年羽毛球训练营办赛经费预算不少于50万</w:t>
      </w:r>
      <w:r>
        <w:rPr>
          <w:rFonts w:ascii="STFangsong" w:eastAsia="STFangsong" w:hAnsi="STFangsong" w:cs="仿宋" w:hint="eastAsia"/>
          <w:sz w:val="32"/>
          <w:szCs w:val="32"/>
        </w:rPr>
        <w:t>人民币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0301DBBF" w14:textId="77777777" w:rsidR="006A096A" w:rsidRDefault="00A57E8A">
      <w:pPr>
        <w:pStyle w:val="a3"/>
        <w:tabs>
          <w:tab w:val="left" w:pos="7938"/>
        </w:tabs>
        <w:ind w:firstLineChars="0" w:firstLine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A0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E12C6" w14:textId="77777777" w:rsidR="003D2299" w:rsidRDefault="003D2299" w:rsidP="00E6128A">
      <w:r>
        <w:separator/>
      </w:r>
    </w:p>
  </w:endnote>
  <w:endnote w:type="continuationSeparator" w:id="0">
    <w:p w14:paraId="3755C0FC" w14:textId="77777777" w:rsidR="003D2299" w:rsidRDefault="003D2299" w:rsidP="00E6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6DD9F" w14:textId="77777777" w:rsidR="003D2299" w:rsidRDefault="003D2299" w:rsidP="00E6128A">
      <w:r>
        <w:separator/>
      </w:r>
    </w:p>
  </w:footnote>
  <w:footnote w:type="continuationSeparator" w:id="0">
    <w:p w14:paraId="49603EA2" w14:textId="77777777" w:rsidR="003D2299" w:rsidRDefault="003D2299" w:rsidP="00E61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B1267"/>
    <w:multiLevelType w:val="multilevel"/>
    <w:tmpl w:val="09AB1267"/>
    <w:lvl w:ilvl="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1BEF52D7"/>
    <w:multiLevelType w:val="multilevel"/>
    <w:tmpl w:val="1BEF52D7"/>
    <w:lvl w:ilvl="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20465F82"/>
    <w:multiLevelType w:val="multilevel"/>
    <w:tmpl w:val="20465F8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63018B5"/>
    <w:multiLevelType w:val="multilevel"/>
    <w:tmpl w:val="363018B5"/>
    <w:lvl w:ilvl="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69041BB2"/>
    <w:multiLevelType w:val="multilevel"/>
    <w:tmpl w:val="69041BB2"/>
    <w:lvl w:ilvl="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788840E6"/>
    <w:multiLevelType w:val="multilevel"/>
    <w:tmpl w:val="788840E6"/>
    <w:lvl w:ilvl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BA"/>
    <w:rsid w:val="000A30AD"/>
    <w:rsid w:val="001F4C66"/>
    <w:rsid w:val="002B6E62"/>
    <w:rsid w:val="003B1DBA"/>
    <w:rsid w:val="003D2299"/>
    <w:rsid w:val="0048266B"/>
    <w:rsid w:val="005F7FEF"/>
    <w:rsid w:val="006A096A"/>
    <w:rsid w:val="006C54DC"/>
    <w:rsid w:val="0093471D"/>
    <w:rsid w:val="00A57E8A"/>
    <w:rsid w:val="00AE42B3"/>
    <w:rsid w:val="00C15E03"/>
    <w:rsid w:val="00C548FD"/>
    <w:rsid w:val="00D47294"/>
    <w:rsid w:val="00DF550B"/>
    <w:rsid w:val="00E6128A"/>
    <w:rsid w:val="06274D15"/>
    <w:rsid w:val="074E2D17"/>
    <w:rsid w:val="08E226C0"/>
    <w:rsid w:val="10F76BD1"/>
    <w:rsid w:val="113705D3"/>
    <w:rsid w:val="134147D6"/>
    <w:rsid w:val="135F0DD3"/>
    <w:rsid w:val="13CB7F4E"/>
    <w:rsid w:val="140C477C"/>
    <w:rsid w:val="15F85B8F"/>
    <w:rsid w:val="16FA0731"/>
    <w:rsid w:val="1E8B225C"/>
    <w:rsid w:val="24F157B1"/>
    <w:rsid w:val="25FC47E9"/>
    <w:rsid w:val="26856205"/>
    <w:rsid w:val="285779BC"/>
    <w:rsid w:val="2882769D"/>
    <w:rsid w:val="2FB92D8C"/>
    <w:rsid w:val="3D401CA4"/>
    <w:rsid w:val="3E1D7CCF"/>
    <w:rsid w:val="3F48263C"/>
    <w:rsid w:val="401F295E"/>
    <w:rsid w:val="407F54FB"/>
    <w:rsid w:val="424476C7"/>
    <w:rsid w:val="45AE45B9"/>
    <w:rsid w:val="4A6445E2"/>
    <w:rsid w:val="4B795A51"/>
    <w:rsid w:val="4B940CC9"/>
    <w:rsid w:val="4CFD5B7B"/>
    <w:rsid w:val="4D1C1642"/>
    <w:rsid w:val="4F6B5599"/>
    <w:rsid w:val="532A3EE1"/>
    <w:rsid w:val="59BC497B"/>
    <w:rsid w:val="61A4335B"/>
    <w:rsid w:val="62EF1674"/>
    <w:rsid w:val="642C1599"/>
    <w:rsid w:val="66585924"/>
    <w:rsid w:val="69EB30B2"/>
    <w:rsid w:val="6FB578DB"/>
    <w:rsid w:val="70E855F7"/>
    <w:rsid w:val="715C1421"/>
    <w:rsid w:val="719F5482"/>
    <w:rsid w:val="735A2063"/>
    <w:rsid w:val="7E514B94"/>
    <w:rsid w:val="7E8246F3"/>
    <w:rsid w:val="7ECB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310B1"/>
  <w15:docId w15:val="{A2380472-35FE-494A-A890-983245D3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jc w:val="center"/>
      <w:outlineLvl w:val="1"/>
    </w:pPr>
    <w:rPr>
      <w:rFonts w:asciiTheme="majorHAnsi" w:eastAsia="仿宋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Pr>
      <w:rFonts w:eastAsia="方正小标宋简体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="仿宋" w:hAnsiTheme="majorHAnsi" w:cstheme="majorBidi"/>
      <w:b/>
      <w:bCs/>
      <w:sz w:val="28"/>
      <w:szCs w:val="32"/>
    </w:rPr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61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6128A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61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6128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 teng</dc:creator>
  <cp:lastModifiedBy>liuru</cp:lastModifiedBy>
  <cp:revision>4</cp:revision>
  <cp:lastPrinted>2021-01-08T08:19:00Z</cp:lastPrinted>
  <dcterms:created xsi:type="dcterms:W3CDTF">2021-01-08T07:51:00Z</dcterms:created>
  <dcterms:modified xsi:type="dcterms:W3CDTF">2021-01-08T08:20:00Z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