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中国射箭协会大众运动水平等级标准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管理办法（试行）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numPr>
          <w:ilvl w:val="0"/>
          <w:numId w:val="1"/>
        </w:numPr>
        <w:spacing w:line="52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 xml:space="preserve">  总  则</w:t>
      </w:r>
    </w:p>
    <w:p>
      <w:pPr>
        <w:spacing w:line="520" w:lineRule="exact"/>
        <w:ind w:firstLine="588" w:firstLineChars="196"/>
        <w:rPr>
          <w:rFonts w:hint="eastAsia" w:ascii="仿宋" w:hAnsi="仿宋" w:eastAsia="仿宋" w:cs="宋体"/>
          <w:bCs/>
          <w:sz w:val="30"/>
          <w:szCs w:val="30"/>
        </w:rPr>
      </w:pPr>
    </w:p>
    <w:p>
      <w:pPr>
        <w:spacing w:line="520" w:lineRule="exact"/>
        <w:ind w:firstLine="588" w:firstLineChars="196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第一条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为加快射箭运动推广和普及，激发大众参与射箭运动的积极性和主动性，依据《全民健身计划纲要》和体育总局关于运动水平等级标准建设工作的要求，结合射箭运动自身特点，制定本办法。</w:t>
      </w:r>
    </w:p>
    <w:p>
      <w:pPr>
        <w:spacing w:line="520" w:lineRule="exact"/>
        <w:ind w:firstLine="588" w:firstLineChars="196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第二条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本办法规定的中国射箭协会大众运动水平等级（以下简称“大众运动等级”）是以检验大众参与射箭运动效果、评价射箭技能水平为目的，以比赛达标为手段的评价体系。</w:t>
      </w:r>
    </w:p>
    <w:p>
      <w:pPr>
        <w:spacing w:line="520" w:lineRule="exact"/>
        <w:ind w:firstLine="588" w:firstLineChars="196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第三条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中国射箭协会负责大众运动等级的制定和颁布，负责等级的认证工作。</w:t>
      </w:r>
    </w:p>
    <w:p>
      <w:pPr>
        <w:spacing w:line="520" w:lineRule="exact"/>
        <w:ind w:firstLine="588" w:firstLineChars="196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第四条</w:t>
      </w:r>
      <w:r>
        <w:rPr>
          <w:rFonts w:hint="eastAsia" w:ascii="仿宋" w:hAnsi="仿宋" w:eastAsia="仿宋" w:cs="宋体"/>
          <w:sz w:val="30"/>
          <w:szCs w:val="30"/>
        </w:rPr>
        <w:t xml:space="preserve">  大众运动等级工作遵循公开、公正的原则。</w:t>
      </w:r>
    </w:p>
    <w:p>
      <w:pPr>
        <w:spacing w:line="520" w:lineRule="exact"/>
        <w:ind w:firstLine="588" w:firstLineChars="196"/>
        <w:rPr>
          <w:rFonts w:ascii="仿宋" w:hAnsi="仿宋" w:eastAsia="仿宋" w:cs="宋体"/>
          <w:sz w:val="30"/>
          <w:szCs w:val="30"/>
        </w:rPr>
      </w:pPr>
    </w:p>
    <w:p>
      <w:pPr>
        <w:spacing w:line="52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>第二章  等级设置</w:t>
      </w:r>
    </w:p>
    <w:p>
      <w:pPr>
        <w:spacing w:line="520" w:lineRule="exact"/>
        <w:ind w:firstLine="660"/>
        <w:rPr>
          <w:rFonts w:hint="eastAsia" w:ascii="黑体" w:hAnsi="黑体" w:eastAsia="黑体" w:cs="宋体"/>
          <w:bCs/>
          <w:sz w:val="30"/>
          <w:szCs w:val="30"/>
        </w:rPr>
      </w:pPr>
    </w:p>
    <w:p>
      <w:pPr>
        <w:spacing w:line="520" w:lineRule="exact"/>
        <w:ind w:firstLine="66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第五条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Cs/>
          <w:sz w:val="30"/>
          <w:szCs w:val="30"/>
        </w:rPr>
        <w:t>在已开展的反曲弓、复合弓、传统弓、光弓四个弓种中，按照室内室外项目和男女类别，分别设立大众运动等级。</w:t>
      </w:r>
    </w:p>
    <w:p>
      <w:pPr>
        <w:spacing w:line="520" w:lineRule="exact"/>
        <w:ind w:firstLine="66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第六条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根据技能水平，将大众运动等级设9个段位，1-3段为初级段位，4-6段位中级段位，7-9段位高级段位。</w:t>
      </w:r>
    </w:p>
    <w:p>
      <w:pPr>
        <w:spacing w:line="520" w:lineRule="exact"/>
        <w:ind w:firstLine="66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在1段前设置3个段前级，由低到高依次为段前1级、段前2级和段前3级。</w:t>
      </w:r>
    </w:p>
    <w:p>
      <w:pPr>
        <w:spacing w:line="520" w:lineRule="exact"/>
        <w:ind w:left="640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第七条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室内项目的射程、箭支数和靶纸</w:t>
      </w:r>
    </w:p>
    <w:p>
      <w:pPr>
        <w:spacing w:line="520" w:lineRule="exact"/>
        <w:ind w:firstLine="66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（一）段前级射程为8米，发射24支箭，使用80厘米六环区靶纸（传统弓使用80厘米四色十环靶纸）。 </w:t>
      </w:r>
    </w:p>
    <w:p>
      <w:pPr>
        <w:spacing w:line="520" w:lineRule="exact"/>
        <w:ind w:firstLine="66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（二）1—3段射程为10米，发射30支箭，使用80厘米六环区靶纸（传统弓使用80厘米四色十环靶纸）。 </w:t>
      </w:r>
    </w:p>
    <w:p>
      <w:pPr>
        <w:spacing w:line="520" w:lineRule="exact"/>
        <w:ind w:firstLine="66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（三）4—6段射程为18米，发射30支箭，使用40厘米全环靶纸（传统弓使用40厘米三色六环靶纸）。 </w:t>
      </w:r>
    </w:p>
    <w:p>
      <w:pPr>
        <w:spacing w:line="520" w:lineRule="exact"/>
        <w:ind w:firstLine="66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（四）7—9段射程为18米，发射60支箭，使用40厘米全环靶纸（传统弓使用40厘米三色六环靶纸）。</w:t>
      </w:r>
    </w:p>
    <w:p>
      <w:pPr>
        <w:spacing w:line="520" w:lineRule="exact"/>
        <w:ind w:left="640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第八条</w:t>
      </w:r>
      <w:r>
        <w:rPr>
          <w:rFonts w:hint="eastAsia" w:ascii="仿宋" w:hAnsi="仿宋" w:eastAsia="仿宋" w:cs="宋体"/>
          <w:sz w:val="30"/>
          <w:szCs w:val="30"/>
        </w:rPr>
        <w:t xml:space="preserve">  室外项目的射程、箭支数和靶纸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（一）段前级射程为8米，发射24支箭，使用80厘米六环区靶纸（传统弓使用80厘米四色十环靶纸）。 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（二）1—3段射程为10米，发射30支箭，使用80厘米六环区靶纸（传统弓使用80厘米四色十环靶纸）。 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（三）4—6段按照弓种不同，分别设置射程、箭支数和靶纸：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1.反曲弓：射程为30米，共发射36支箭，使用80厘米六环区靶纸。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2.复合弓：射程均为50米，共发射36支箭，使用80厘米六环区靶纸。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3.传统弓：射程为20米和30米，每个距离发射24支箭，共发射48支箭，使用80厘米四色十环靶纸。 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4.光弓：射程为30米，共发射36支箭，使用80厘米全环靶纸。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（四）7—9段按照弓种不同，分别设置射程、箭支数和靶纸：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1.反曲弓：射程为70米，共发射72支箭，使用122厘米靶纸。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2.复合弓：射程均为50米，共发射72支箭，使用80厘米六环区靶纸。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3.传统弓：射程为20米、30米、40米和50米，共发射96支箭，近距离（20米、30米）使用80厘米四色十环靶纸；远距离（40米、50米）使用120厘米四色十环靶纸。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4.光弓：射程为50米，共发射72支箭，使用122厘米靶纸。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第九条</w:t>
      </w:r>
      <w:r>
        <w:rPr>
          <w:rFonts w:hint="eastAsia" w:ascii="仿宋" w:hAnsi="仿宋" w:eastAsia="仿宋" w:cs="宋体"/>
          <w:sz w:val="30"/>
          <w:szCs w:val="30"/>
        </w:rPr>
        <w:t xml:space="preserve">  弓的磅数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（一）复合弓不大于60磅，其他弓种</w:t>
      </w:r>
      <w:r>
        <w:rPr>
          <w:rFonts w:ascii="仿宋" w:hAnsi="仿宋" w:eastAsia="仿宋" w:cs="宋体"/>
          <w:sz w:val="30"/>
          <w:szCs w:val="30"/>
        </w:rPr>
        <w:t>磅数不限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（二）12周岁以下人员，复合弓磅数不超过45磅，其他弓种不超过28磅。</w:t>
      </w:r>
    </w:p>
    <w:p>
      <w:pPr>
        <w:spacing w:line="520" w:lineRule="exact"/>
        <w:ind w:firstLine="660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Cs/>
          <w:sz w:val="30"/>
          <w:szCs w:val="30"/>
        </w:rPr>
        <w:t>装备器材和场地</w:t>
      </w:r>
    </w:p>
    <w:p>
      <w:pPr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器材装备和场地应符合国际箭联规则和《中国传统弓竞赛规则》等中国射箭协会最新审定的竞赛规则。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spacing w:line="52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>第三章  达级要求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宋体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第十一条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年龄在12周岁以下的人员，必须参加段前级达级赛。达到段前3级之后，方可参加初级段位达级赛。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第十二条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年龄在12周岁及以上的人员，可参加段前级达级赛，也可直接参加初级段位的达级赛。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达级人员首先参加初级段位达级赛，达到3段后，方可参加中级段位达级赛；在中级段位中达到6段后，方可参加高级段位达级赛。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第十三条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在初级段位中，可以直接达2段或者3段；在中级段位中，可以直接达5段或6段；在高级段位中，可以直接达8段或9段。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color w:val="FF000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宋体"/>
          <w:color w:val="FF000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FF0000"/>
          <w:sz w:val="30"/>
          <w:szCs w:val="30"/>
        </w:rPr>
      </w:pPr>
    </w:p>
    <w:p>
      <w:pPr>
        <w:spacing w:line="52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>第四章  等级评定与授予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宋体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第十四条</w:t>
      </w:r>
      <w:r>
        <w:rPr>
          <w:rFonts w:hint="eastAsia" w:ascii="仿宋" w:hAnsi="仿宋" w:eastAsia="仿宋" w:cs="宋体"/>
          <w:b/>
          <w:bCs/>
          <w:color w:val="FF000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Cs/>
          <w:sz w:val="30"/>
          <w:szCs w:val="30"/>
        </w:rPr>
        <w:t>大众运动等级根据中国射箭协会达级赛（简称“达级赛”，办法另行制定）中创造的成绩，结合中国射箭协会大众运动等级成绩标准（见附件）进行评定。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第十五条</w:t>
      </w:r>
      <w:r>
        <w:rPr>
          <w:rFonts w:hint="eastAsia" w:ascii="仿宋" w:hAnsi="仿宋" w:eastAsia="仿宋" w:cs="宋体"/>
          <w:b/>
          <w:bCs/>
          <w:color w:val="FF000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Cs/>
          <w:sz w:val="30"/>
          <w:szCs w:val="30"/>
        </w:rPr>
        <w:t>到等级后，中国射箭协会颁发等级证书，并在官网上公布达级人员信息。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spacing w:line="52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>第五章  附则</w:t>
      </w:r>
    </w:p>
    <w:p>
      <w:pPr>
        <w:spacing w:line="520" w:lineRule="exact"/>
        <w:ind w:firstLine="588" w:firstLineChars="196"/>
        <w:rPr>
          <w:rFonts w:hint="eastAsia" w:ascii="黑体" w:hAnsi="黑体" w:eastAsia="黑体" w:cs="宋体"/>
          <w:bCs/>
          <w:sz w:val="30"/>
          <w:szCs w:val="30"/>
        </w:rPr>
      </w:pPr>
    </w:p>
    <w:p>
      <w:pPr>
        <w:spacing w:line="520" w:lineRule="exact"/>
        <w:ind w:firstLine="588" w:firstLineChars="196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第十六条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本办法自颁布之日起试行。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第十七条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本办法最终解释权属于中国射箭协会。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588" w:bottom="1418" w:left="1588" w:header="851" w:footer="992" w:gutter="0"/>
          <w:cols w:space="425" w:num="1"/>
          <w:titlePg/>
          <w:docGrid w:type="linesAndChars" w:linePitch="312" w:charSpace="0"/>
        </w:sect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射箭大众运动水平等级成绩标准</w:t>
      </w:r>
    </w:p>
    <w:p>
      <w:pPr>
        <w:spacing w:before="312" w:beforeLines="100" w:line="60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射箭大众运动等级成绩标准（女子）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713"/>
        <w:gridCol w:w="403"/>
        <w:gridCol w:w="951"/>
        <w:gridCol w:w="471"/>
        <w:gridCol w:w="471"/>
        <w:gridCol w:w="471"/>
        <w:gridCol w:w="471"/>
        <w:gridCol w:w="713"/>
        <w:gridCol w:w="517"/>
        <w:gridCol w:w="710"/>
        <w:gridCol w:w="468"/>
        <w:gridCol w:w="713"/>
        <w:gridCol w:w="437"/>
        <w:gridCol w:w="676"/>
        <w:gridCol w:w="520"/>
        <w:gridCol w:w="713"/>
        <w:gridCol w:w="437"/>
        <w:gridCol w:w="710"/>
        <w:gridCol w:w="565"/>
        <w:gridCol w:w="747"/>
        <w:gridCol w:w="713"/>
        <w:gridCol w:w="633"/>
        <w:gridCol w:w="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室内（统一）</w:t>
            </w:r>
          </w:p>
        </w:tc>
        <w:tc>
          <w:tcPr>
            <w:tcW w:w="662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室内环值</w:t>
            </w:r>
          </w:p>
        </w:tc>
        <w:tc>
          <w:tcPr>
            <w:tcW w:w="847" w:type="pct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室外反曲</w:t>
            </w:r>
          </w:p>
        </w:tc>
        <w:tc>
          <w:tcPr>
            <w:tcW w:w="825" w:type="pct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室外复合</w:t>
            </w:r>
          </w:p>
        </w:tc>
        <w:tc>
          <w:tcPr>
            <w:tcW w:w="854" w:type="pct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室外光弓</w:t>
            </w:r>
          </w:p>
        </w:tc>
        <w:tc>
          <w:tcPr>
            <w:tcW w:w="936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室外传统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段位级别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反曲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复合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光弓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传统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靶纸</w:t>
            </w:r>
          </w:p>
        </w:tc>
        <w:tc>
          <w:tcPr>
            <w:tcW w:w="1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环值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3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靶纸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环值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环值</w:t>
            </w:r>
          </w:p>
        </w:tc>
        <w:tc>
          <w:tcPr>
            <w:tcW w:w="26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环值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段前1级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段前2级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段前3级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一段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2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二段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26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235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145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26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185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295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255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六段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255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245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315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七段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500</w:t>
            </w:r>
          </w:p>
        </w:tc>
        <w:tc>
          <w:tcPr>
            <w:tcW w:w="16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8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650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570</w:t>
            </w:r>
          </w:p>
        </w:tc>
        <w:tc>
          <w:tcPr>
            <w:tcW w:w="26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</w:t>
            </w:r>
          </w:p>
        </w:tc>
        <w:tc>
          <w:tcPr>
            <w:tcW w:w="19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八段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九段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590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555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660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695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630</w:t>
            </w:r>
          </w:p>
        </w:tc>
        <w:tc>
          <w:tcPr>
            <w:tcW w:w="2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810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射箭大众运动等级成绩标准（男子）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698"/>
        <w:gridCol w:w="491"/>
        <w:gridCol w:w="928"/>
        <w:gridCol w:w="460"/>
        <w:gridCol w:w="460"/>
        <w:gridCol w:w="460"/>
        <w:gridCol w:w="463"/>
        <w:gridCol w:w="698"/>
        <w:gridCol w:w="491"/>
        <w:gridCol w:w="710"/>
        <w:gridCol w:w="585"/>
        <w:gridCol w:w="698"/>
        <w:gridCol w:w="522"/>
        <w:gridCol w:w="693"/>
        <w:gridCol w:w="522"/>
        <w:gridCol w:w="698"/>
        <w:gridCol w:w="474"/>
        <w:gridCol w:w="696"/>
        <w:gridCol w:w="522"/>
        <w:gridCol w:w="719"/>
        <w:gridCol w:w="699"/>
        <w:gridCol w:w="651"/>
        <w:gridCol w:w="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室内（统一）</w:t>
            </w:r>
          </w:p>
        </w:tc>
        <w:tc>
          <w:tcPr>
            <w:tcW w:w="649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室内环值</w:t>
            </w:r>
          </w:p>
        </w:tc>
        <w:tc>
          <w:tcPr>
            <w:tcW w:w="875" w:type="pct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室外反曲</w:t>
            </w:r>
          </w:p>
        </w:tc>
        <w:tc>
          <w:tcPr>
            <w:tcW w:w="858" w:type="pct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室外复合</w:t>
            </w:r>
          </w:p>
        </w:tc>
        <w:tc>
          <w:tcPr>
            <w:tcW w:w="842" w:type="pct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室外光弓</w:t>
            </w:r>
          </w:p>
        </w:tc>
        <w:tc>
          <w:tcPr>
            <w:tcW w:w="890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室外传统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段位级别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反曲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复合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光弓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传统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2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环值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环值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16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环值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射程（米）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箭支数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环值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段前1级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段前2级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段前3级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一段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二段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245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245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三段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80厘米六环区靶纸/80厘米四色十环靶纸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四段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235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6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五段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305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六段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255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325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2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80厘米全环靶纸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300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20米、30米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24*2，共48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七段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615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600</w:t>
            </w:r>
          </w:p>
        </w:tc>
        <w:tc>
          <w:tcPr>
            <w:tcW w:w="25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80、120四色十环靶纸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八段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575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635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685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630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九段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3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40厘米全环靶纸/40厘米三色六环靶纸</w:t>
            </w:r>
          </w:p>
        </w:tc>
        <w:tc>
          <w:tcPr>
            <w:tcW w:w="16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565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663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80厘米六环区靶纸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122厘米靶纸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665</w:t>
            </w:r>
          </w:p>
        </w:tc>
        <w:tc>
          <w:tcPr>
            <w:tcW w:w="2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20、30、40、50米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24*4，共96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80、120四色十环靶纸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840</w:t>
            </w:r>
          </w:p>
        </w:tc>
      </w:tr>
    </w:tbl>
    <w:p>
      <w:pPr>
        <w:spacing w:line="20" w:lineRule="atLeast"/>
        <w:rPr>
          <w:rFonts w:hint="eastAsia" w:ascii="仿宋" w:hAnsi="仿宋" w:eastAsia="仿宋"/>
          <w:sz w:val="2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9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8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76A0"/>
    <w:multiLevelType w:val="singleLevel"/>
    <w:tmpl w:val="587C76A0"/>
    <w:lvl w:ilvl="0" w:tentative="0">
      <w:start w:val="1"/>
      <w:numFmt w:val="chineseCounting"/>
      <w:suff w:val="space"/>
      <w:lvlText w:val="第%1章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3297E"/>
    <w:rsid w:val="141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2020-12-22T02:57:00Z</dcterms:created>
  <dc:creator>韩小特意安</dc:creator>
  <cp:lastModifiedBy>韩小特意安</cp:lastModifiedBy>
  <dcterms:modified xsi:type="dcterms:W3CDTF">2020-12-22T02:57:31Z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