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8CB" w:rsidRPr="00466241" w:rsidRDefault="005F58CB" w:rsidP="005F58CB">
      <w:pPr>
        <w:widowControl/>
        <w:jc w:val="left"/>
        <w:rPr>
          <w:rFonts w:ascii="黑体" w:eastAsia="黑体" w:hAnsi="黑体"/>
          <w:sz w:val="30"/>
          <w:szCs w:val="30"/>
        </w:rPr>
      </w:pPr>
      <w:r w:rsidRPr="00466241">
        <w:rPr>
          <w:rFonts w:ascii="黑体" w:eastAsia="黑体" w:hAnsi="黑体" w:hint="eastAsia"/>
          <w:sz w:val="30"/>
          <w:szCs w:val="30"/>
        </w:rPr>
        <w:t>附件</w:t>
      </w:r>
      <w:r>
        <w:rPr>
          <w:rFonts w:ascii="黑体" w:eastAsia="黑体" w:hAnsi="黑体"/>
          <w:sz w:val="30"/>
          <w:szCs w:val="30"/>
        </w:rPr>
        <w:t>1</w:t>
      </w:r>
    </w:p>
    <w:p w:rsidR="005F58CB" w:rsidRPr="008858A9" w:rsidRDefault="005F58CB" w:rsidP="005F58CB">
      <w:pPr>
        <w:jc w:val="left"/>
        <w:rPr>
          <w:rFonts w:ascii="黑体" w:eastAsia="黑体" w:hAnsi="黑体"/>
          <w:szCs w:val="32"/>
        </w:rPr>
      </w:pPr>
    </w:p>
    <w:p w:rsidR="005F58CB" w:rsidRDefault="005F58CB" w:rsidP="005F58CB">
      <w:pPr>
        <w:jc w:val="center"/>
        <w:rPr>
          <w:rFonts w:ascii="方正小标宋_GBK" w:eastAsia="方正小标宋_GBK"/>
          <w:sz w:val="40"/>
          <w:szCs w:val="40"/>
        </w:rPr>
      </w:pPr>
      <w:r>
        <w:rPr>
          <w:rFonts w:ascii="方正小标宋_GBK" w:eastAsia="方正小标宋_GBK" w:hint="eastAsia"/>
          <w:sz w:val="40"/>
          <w:szCs w:val="40"/>
        </w:rPr>
        <w:t>国家队运动员反兴奋剂责任书</w:t>
      </w:r>
    </w:p>
    <w:p w:rsidR="005F58CB" w:rsidRDefault="005F58CB" w:rsidP="005F58CB">
      <w:pPr>
        <w:snapToGrid w:val="0"/>
        <w:spacing w:line="300" w:lineRule="exact"/>
        <w:ind w:firstLineChars="200" w:firstLine="600"/>
        <w:rPr>
          <w:rFonts w:ascii="仿宋" w:eastAsia="仿宋" w:hAnsi="仿宋"/>
          <w:sz w:val="30"/>
          <w:szCs w:val="30"/>
        </w:rPr>
      </w:pPr>
    </w:p>
    <w:p w:rsidR="005F58CB" w:rsidRDefault="005F58CB" w:rsidP="005F58CB">
      <w:pPr>
        <w:spacing w:line="560" w:lineRule="exact"/>
        <w:ind w:firstLineChars="200" w:firstLine="600"/>
        <w:rPr>
          <w:rFonts w:ascii="仿宋" w:eastAsia="仿宋" w:hAnsi="仿宋"/>
          <w:sz w:val="30"/>
          <w:szCs w:val="30"/>
        </w:rPr>
      </w:pPr>
      <w:r>
        <w:rPr>
          <w:rFonts w:ascii="仿宋" w:eastAsia="仿宋" w:hAnsi="仿宋" w:hint="eastAsia"/>
          <w:sz w:val="30"/>
          <w:szCs w:val="30"/>
        </w:rPr>
        <w:t>为坚决贯彻落实习近平总书记对反兴奋剂工作系列指示批示精神，以强烈的政治责任感和使命感做好反兴奋剂工作，进一步强化运动员反兴奋剂工作责任意识，认真履行反兴奋剂责任和义务，签订本责任书。</w:t>
      </w:r>
    </w:p>
    <w:p w:rsidR="005F58CB" w:rsidRDefault="005F58CB" w:rsidP="005F58CB">
      <w:pPr>
        <w:tabs>
          <w:tab w:val="left" w:pos="420"/>
        </w:tabs>
        <w:spacing w:line="560" w:lineRule="exact"/>
        <w:ind w:firstLineChars="200" w:firstLine="600"/>
        <w:rPr>
          <w:rFonts w:ascii="仿宋" w:eastAsia="仿宋" w:hAnsi="仿宋"/>
          <w:sz w:val="30"/>
          <w:szCs w:val="30"/>
          <w:lang w:val="zh-TW" w:eastAsia="zh-TW"/>
        </w:rPr>
      </w:pPr>
      <w:r>
        <w:rPr>
          <w:rFonts w:ascii="仿宋" w:eastAsia="仿宋" w:hAnsi="仿宋" w:hint="eastAsia"/>
          <w:sz w:val="30"/>
          <w:szCs w:val="30"/>
        </w:rPr>
        <w:t>一、运动员</w:t>
      </w:r>
      <w:r>
        <w:rPr>
          <w:rFonts w:ascii="仿宋" w:eastAsia="仿宋" w:hAnsi="仿宋" w:hint="eastAsia"/>
          <w:sz w:val="30"/>
          <w:szCs w:val="30"/>
          <w:lang w:val="zh-TW"/>
        </w:rPr>
        <w:t>坚决不使用任何兴奋剂，坚决抵制任何兴奋剂违规行为。</w:t>
      </w:r>
    </w:p>
    <w:p w:rsidR="005F58CB" w:rsidRDefault="005F58CB" w:rsidP="005F58CB">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二、运动员坚决抵制任何人员组织、强迫、欺骗和教唆使用兴奋剂的行为。</w:t>
      </w:r>
    </w:p>
    <w:p w:rsidR="005F58CB" w:rsidRDefault="005F58CB" w:rsidP="005F58CB">
      <w:pPr>
        <w:tabs>
          <w:tab w:val="left" w:pos="420"/>
        </w:tabs>
        <w:spacing w:line="560" w:lineRule="exact"/>
        <w:ind w:firstLineChars="200" w:firstLine="600"/>
        <w:rPr>
          <w:rFonts w:ascii="仿宋" w:eastAsia="仿宋" w:hAnsi="仿宋"/>
          <w:sz w:val="30"/>
          <w:szCs w:val="30"/>
          <w:lang w:val="zh-TW" w:eastAsia="zh-TW"/>
        </w:rPr>
      </w:pPr>
      <w:r>
        <w:rPr>
          <w:rFonts w:ascii="仿宋" w:eastAsia="仿宋" w:hAnsi="仿宋" w:hint="eastAsia"/>
          <w:sz w:val="30"/>
          <w:szCs w:val="30"/>
          <w:lang w:val="zh-TW"/>
        </w:rPr>
        <w:t>三、运动员进入国家队后不接受省市单位提供的“五品”：食品、药品、营养品、饮品和化妆品。</w:t>
      </w:r>
    </w:p>
    <w:p w:rsidR="005F58CB" w:rsidRDefault="005F58CB" w:rsidP="005F58CB">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四、运动员严格按照行踪信息申报制度的要求，主动、及时、准确报告和更新个人行踪信息。</w:t>
      </w:r>
    </w:p>
    <w:p w:rsidR="005F58CB" w:rsidRDefault="005F58CB" w:rsidP="005F58CB">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库内运动员在申报和更新行踪信息时，如遇技术故障，应立即联系国家队反兴奋剂联络员，国际库内运动员由国家队报告射运中心办公室外事部门，由办公室外事部门与国际单项体育联合会及时沟通解决；中国库内运动员由国家队通知所属省级训练单位，由所属省级训练单位与中国反兴奋剂中心及时沟通解决。</w:t>
      </w:r>
    </w:p>
    <w:p w:rsidR="005F58CB" w:rsidRDefault="005F58CB" w:rsidP="005F58CB">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五、运动员因伤病需要进行治疗时，须先报告国家队队部、队医、所属省级训练单位，确认需要就医时，主动向医师说明运动员身份，确需使用含有违禁物质的药品或禁止方法时，按照治</w:t>
      </w:r>
      <w:r>
        <w:rPr>
          <w:rFonts w:ascii="仿宋" w:eastAsia="仿宋" w:hAnsi="仿宋" w:hint="eastAsia"/>
          <w:sz w:val="30"/>
          <w:szCs w:val="30"/>
        </w:rPr>
        <w:lastRenderedPageBreak/>
        <w:t>疗用药豁免的有关规定，申请获批后在医生的指导下使用。</w:t>
      </w:r>
    </w:p>
    <w:p w:rsidR="005F58CB" w:rsidRDefault="005F58CB" w:rsidP="005F58CB">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六、运动员按规定接受兴奋剂检查，积极配合兴奋剂检查官的工作。</w:t>
      </w:r>
    </w:p>
    <w:p w:rsidR="005F58CB" w:rsidRDefault="005F58CB" w:rsidP="005F58CB">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库内运动员在国家队训练期间遇飞行检查，须首先报告国家队队部、队医，按照检查程序配合兴奋剂检查官的工作，检查完成后由国家队将检查情况书面报告国家体育总局射运中心。</w:t>
      </w:r>
    </w:p>
    <w:p w:rsidR="005F58CB" w:rsidRDefault="005F58CB" w:rsidP="005F58CB">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库内运动员在省市训练期间遇飞行检查，应参照</w:t>
      </w:r>
      <w:r>
        <w:rPr>
          <w:rFonts w:ascii="仿宋" w:eastAsia="仿宋" w:hAnsi="仿宋"/>
          <w:sz w:val="30"/>
          <w:szCs w:val="30"/>
        </w:rPr>
        <w:t>有关</w:t>
      </w:r>
      <w:r>
        <w:rPr>
          <w:rFonts w:ascii="仿宋" w:eastAsia="仿宋" w:hAnsi="仿宋" w:hint="eastAsia"/>
          <w:sz w:val="30"/>
          <w:szCs w:val="30"/>
        </w:rPr>
        <w:t>规定接受</w:t>
      </w:r>
      <w:r>
        <w:rPr>
          <w:rFonts w:ascii="仿宋" w:eastAsia="仿宋" w:hAnsi="仿宋"/>
          <w:sz w:val="30"/>
          <w:szCs w:val="30"/>
        </w:rPr>
        <w:t>检查，</w:t>
      </w:r>
      <w:r>
        <w:rPr>
          <w:rFonts w:ascii="仿宋" w:eastAsia="仿宋" w:hAnsi="仿宋" w:hint="eastAsia"/>
          <w:sz w:val="30"/>
          <w:szCs w:val="30"/>
        </w:rPr>
        <w:t>检查完成后由运动员所属省级训练单位将检查事宜书面报告国家体育总局射运中心业务部，业务部将检查情况书面报告国家体育总局射运中心。</w:t>
      </w:r>
    </w:p>
    <w:p w:rsidR="005F58CB" w:rsidRDefault="005F58CB" w:rsidP="005F58CB">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七、运动员自觉主动学习《最高人民法院关于审理走私、非法经营、非法使用兴奋剂刑事案件适用法律若干问题的解释》、《反兴奋剂条例》、《反兴奋剂管理办法》、《</w:t>
      </w:r>
      <w:r w:rsidRPr="00554580">
        <w:rPr>
          <w:rFonts w:ascii="仿宋" w:eastAsia="仿宋" w:hAnsi="仿宋" w:hint="eastAsia"/>
          <w:sz w:val="30"/>
          <w:szCs w:val="30"/>
        </w:rPr>
        <w:t>反兴奋剂规则</w:t>
      </w:r>
      <w:r>
        <w:rPr>
          <w:rFonts w:ascii="仿宋" w:eastAsia="仿宋" w:hAnsi="仿宋" w:hint="eastAsia"/>
          <w:sz w:val="30"/>
          <w:szCs w:val="30"/>
        </w:rPr>
        <w:t>》等反兴奋剂有关法律法规，积极参加反兴奋剂教育、培训和考试，学懂学通。</w:t>
      </w:r>
    </w:p>
    <w:p w:rsidR="005F58CB" w:rsidRDefault="005F58CB" w:rsidP="005F58CB">
      <w:pPr>
        <w:tabs>
          <w:tab w:val="left" w:pos="420"/>
        </w:tabs>
        <w:spacing w:line="560" w:lineRule="exact"/>
        <w:ind w:firstLineChars="200" w:firstLine="600"/>
        <w:rPr>
          <w:rFonts w:ascii="仿宋" w:eastAsia="仿宋" w:hAnsi="仿宋"/>
          <w:sz w:val="30"/>
          <w:szCs w:val="30"/>
        </w:rPr>
      </w:pPr>
      <w:r>
        <w:rPr>
          <w:rFonts w:ascii="仿宋" w:eastAsia="仿宋" w:hAnsi="仿宋" w:hint="eastAsia"/>
          <w:sz w:val="30"/>
          <w:szCs w:val="30"/>
        </w:rPr>
        <w:t>八、处罚规定</w:t>
      </w:r>
    </w:p>
    <w:p w:rsidR="005F58CB" w:rsidRPr="006E5782" w:rsidRDefault="005F58CB" w:rsidP="005F58CB">
      <w:pPr>
        <w:spacing w:line="560" w:lineRule="exact"/>
        <w:ind w:firstLineChars="200" w:firstLine="600"/>
        <w:rPr>
          <w:rFonts w:ascii="仿宋" w:eastAsia="仿宋" w:hAnsi="仿宋" w:cs="仿宋"/>
          <w:sz w:val="30"/>
          <w:szCs w:val="30"/>
        </w:rPr>
      </w:pPr>
      <w:r w:rsidRPr="006E5782">
        <w:rPr>
          <w:rFonts w:ascii="仿宋" w:eastAsia="仿宋" w:hAnsi="仿宋" w:cs="仿宋" w:hint="eastAsia"/>
          <w:sz w:val="30"/>
          <w:szCs w:val="30"/>
        </w:rPr>
        <w:t>（一）</w:t>
      </w:r>
      <w:r w:rsidRPr="00920574">
        <w:rPr>
          <w:rFonts w:ascii="仿宋" w:eastAsia="仿宋" w:hAnsi="仿宋" w:cs="仿宋" w:hint="eastAsia"/>
          <w:sz w:val="30"/>
          <w:szCs w:val="30"/>
        </w:rPr>
        <w:t>接收到</w:t>
      </w:r>
      <w:r>
        <w:rPr>
          <w:rFonts w:ascii="仿宋" w:eastAsia="仿宋" w:hAnsi="仿宋" w:cs="仿宋" w:hint="eastAsia"/>
          <w:sz w:val="30"/>
          <w:szCs w:val="30"/>
        </w:rPr>
        <w:t>国际单项体育联合会</w:t>
      </w:r>
      <w:r w:rsidRPr="00920574">
        <w:rPr>
          <w:rFonts w:ascii="仿宋" w:eastAsia="仿宋" w:hAnsi="仿宋" w:cs="仿宋" w:hint="eastAsia"/>
          <w:sz w:val="30"/>
          <w:szCs w:val="30"/>
        </w:rPr>
        <w:t>、中国反兴奋剂中心来函，通报国家队运动员错过检查或未按规定申报行踪信息的，或运动员在入选国家队已有</w:t>
      </w:r>
      <w:r>
        <w:rPr>
          <w:rFonts w:ascii="仿宋" w:eastAsia="仿宋" w:hAnsi="仿宋" w:cs="仿宋" w:hint="eastAsia"/>
          <w:sz w:val="30"/>
          <w:szCs w:val="30"/>
        </w:rPr>
        <w:t>国际单项体育联合会</w:t>
      </w:r>
      <w:r w:rsidRPr="00920574">
        <w:rPr>
          <w:rFonts w:ascii="仿宋" w:eastAsia="仿宋" w:hAnsi="仿宋" w:cs="仿宋" w:hint="eastAsia"/>
          <w:sz w:val="30"/>
          <w:szCs w:val="30"/>
        </w:rPr>
        <w:t>、中国反兴奋剂中心通报的错过检查或未按规定申报行踪信息的，将受到相应处罚。</w:t>
      </w:r>
    </w:p>
    <w:p w:rsidR="005F58CB" w:rsidRDefault="005F58CB" w:rsidP="005F58CB">
      <w:pPr>
        <w:spacing w:line="560" w:lineRule="exact"/>
        <w:ind w:firstLineChars="200" w:firstLine="600"/>
        <w:rPr>
          <w:rFonts w:ascii="仿宋" w:eastAsia="仿宋" w:hAnsi="仿宋" w:cs="仿宋"/>
          <w:sz w:val="30"/>
          <w:szCs w:val="30"/>
        </w:rPr>
      </w:pPr>
      <w:r w:rsidRPr="006E5782">
        <w:rPr>
          <w:rFonts w:ascii="仿宋" w:eastAsia="仿宋" w:hAnsi="仿宋" w:cs="仿宋" w:hint="eastAsia"/>
          <w:sz w:val="30"/>
          <w:szCs w:val="30"/>
        </w:rPr>
        <w:t>（二）</w:t>
      </w:r>
      <w:r w:rsidRPr="00806108">
        <w:rPr>
          <w:rFonts w:ascii="仿宋" w:eastAsia="仿宋" w:hAnsi="仿宋" w:cs="仿宋" w:hint="eastAsia"/>
          <w:sz w:val="30"/>
          <w:szCs w:val="30"/>
        </w:rPr>
        <w:t>根据《最高人民法院关于审理走私、非法经营、非法使用兴奋剂刑事案件适用法律若干问题的解释》（法释〔2019〕16号）、《反兴奋剂条例》（国务院令第398号）、《反兴奋剂管理办法》（国家体育总局令第20号）和《反兴奋剂规则（征求意见</w:t>
      </w:r>
      <w:r w:rsidRPr="00806108">
        <w:rPr>
          <w:rFonts w:ascii="仿宋" w:eastAsia="仿宋" w:hAnsi="仿宋" w:cs="仿宋" w:hint="eastAsia"/>
          <w:sz w:val="30"/>
          <w:szCs w:val="30"/>
        </w:rPr>
        <w:lastRenderedPageBreak/>
        <w:t>稿）》（体反兴奋剂字〔2020〕318号）等规定，国家队如发生违反以上规定的行为，当事人（运动员）、主管教练员、国家队直接责任人（国家队领队）将按照以上规定接受取消比赛成绩、禁赛、罚款及其他适用的行政处罚和刑事处罚。</w:t>
      </w:r>
    </w:p>
    <w:p w:rsidR="005F58CB" w:rsidRDefault="005F58CB" w:rsidP="005F58CB">
      <w:pPr>
        <w:spacing w:line="580" w:lineRule="exact"/>
        <w:ind w:firstLineChars="200" w:firstLine="600"/>
        <w:jc w:val="left"/>
        <w:rPr>
          <w:rFonts w:ascii="仿宋" w:eastAsia="仿宋" w:hAnsi="仿宋" w:cs="仿宋"/>
          <w:sz w:val="30"/>
          <w:szCs w:val="30"/>
        </w:rPr>
      </w:pPr>
    </w:p>
    <w:p w:rsidR="005F58CB" w:rsidRPr="00466241" w:rsidRDefault="005F58CB" w:rsidP="005F58CB">
      <w:pPr>
        <w:spacing w:line="580" w:lineRule="exact"/>
        <w:ind w:firstLineChars="200" w:firstLine="600"/>
        <w:jc w:val="left"/>
        <w:rPr>
          <w:rFonts w:ascii="仿宋" w:eastAsia="仿宋" w:hAnsi="仿宋" w:cs="仿宋"/>
          <w:sz w:val="30"/>
          <w:szCs w:val="30"/>
        </w:rPr>
      </w:pPr>
      <w:r w:rsidRPr="00466241">
        <w:rPr>
          <w:rFonts w:ascii="仿宋" w:eastAsia="仿宋" w:hAnsi="仿宋" w:cs="仿宋" w:hint="eastAsia"/>
          <w:sz w:val="30"/>
          <w:szCs w:val="30"/>
        </w:rPr>
        <w:t>运动员签字：                    国家队领队签字：</w:t>
      </w:r>
    </w:p>
    <w:p w:rsidR="005F58CB" w:rsidRPr="00466241" w:rsidRDefault="005F58CB" w:rsidP="005F58CB">
      <w:pPr>
        <w:spacing w:line="580" w:lineRule="exact"/>
        <w:ind w:firstLineChars="200" w:firstLine="600"/>
        <w:jc w:val="left"/>
        <w:rPr>
          <w:rFonts w:ascii="仿宋" w:eastAsia="仿宋" w:hAnsi="仿宋" w:cs="仿宋"/>
          <w:sz w:val="30"/>
          <w:szCs w:val="30"/>
        </w:rPr>
      </w:pPr>
      <w:r w:rsidRPr="00466241">
        <w:rPr>
          <w:rFonts w:ascii="仿宋" w:eastAsia="仿宋" w:hAnsi="仿宋" w:cs="仿宋" w:hint="eastAsia"/>
          <w:sz w:val="30"/>
          <w:szCs w:val="30"/>
        </w:rPr>
        <w:t>日期：                          日期：</w:t>
      </w:r>
    </w:p>
    <w:p w:rsidR="004A1A22" w:rsidRDefault="004A1A22">
      <w:bookmarkStart w:id="0" w:name="_GoBack"/>
      <w:bookmarkEnd w:id="0"/>
    </w:p>
    <w:sectPr w:rsidR="004A1A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CB"/>
    <w:rsid w:val="004A1A22"/>
    <w:rsid w:val="005F5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E7F59-E3AF-402E-9A09-F51ECF11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F58CB"/>
    <w:pPr>
      <w:widowControl w:val="0"/>
      <w:jc w:val="both"/>
    </w:pPr>
    <w:rPr>
      <w:rFonts w:ascii="仿宋_GB2312" w:eastAsia="仿宋_GB2312" w:hAnsi="Times New Roman" w:cs="Times New Roman"/>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裴超</dc:creator>
  <cp:keywords/>
  <dc:description/>
  <cp:lastModifiedBy>裴超</cp:lastModifiedBy>
  <cp:revision>1</cp:revision>
  <dcterms:created xsi:type="dcterms:W3CDTF">2020-12-16T05:30:00Z</dcterms:created>
  <dcterms:modified xsi:type="dcterms:W3CDTF">2020-12-16T05:30:00Z</dcterms:modified>
</cp:coreProperties>
</file>