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color w:val="000000"/>
          <w:kern w:val="0"/>
          <w:sz w:val="36"/>
          <w:szCs w:val="36"/>
        </w:rPr>
        <w:t>2020年全国老年人</w:t>
      </w: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持杖健走基层技术骨干</w:t>
      </w:r>
    </w:p>
    <w:p>
      <w:pPr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cs="方正小标宋简体" w:asciiTheme="minorEastAsia" w:hAnsiTheme="minorEastAsia"/>
          <w:color w:val="000000"/>
          <w:kern w:val="0"/>
          <w:sz w:val="36"/>
          <w:szCs w:val="36"/>
        </w:rPr>
        <w:t>网络培训班课程表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789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3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12月21日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持杖健走理论教学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持杖健走技术教学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12月22日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版竞赛规则及裁判法教学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手杖操教学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12月23日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持杖健走场地接力比赛讲解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手杖操教学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34F47"/>
    <w:rsid w:val="3EC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2020-12-02T07:10:00Z</dcterms:created>
  <dc:creator>❤️Chloe M</dc:creator>
  <cp:lastModifiedBy>❤️Chloe M</cp:lastModifiedBy>
  <dcterms:modified xsi:type="dcterms:W3CDTF">2020-12-02T07:10:23Z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