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附件2</w:t>
      </w:r>
    </w:p>
    <w:p>
      <w:pPr>
        <w:spacing w:line="360" w:lineRule="auto"/>
        <w:jc w:val="left"/>
        <w:rPr>
          <w:rFonts w:hint="eastAsia" w:ascii="黑体" w:hAnsi="黑体" w:eastAsia="黑体"/>
          <w:sz w:val="32"/>
          <w:szCs w:val="32"/>
        </w:rPr>
      </w:pPr>
    </w:p>
    <w:p>
      <w:pPr>
        <w:spacing w:line="600" w:lineRule="exact"/>
        <w:jc w:val="center"/>
        <w:rPr>
          <w:rFonts w:hint="eastAsia" w:ascii="仿宋" w:hAnsi="仿宋" w:eastAsia="仿宋"/>
          <w:sz w:val="30"/>
          <w:szCs w:val="30"/>
        </w:rPr>
      </w:pPr>
      <w:r>
        <w:rPr>
          <w:rFonts w:hint="eastAsia" w:ascii="方正小标宋_GBK" w:hAnsi="仿宋" w:eastAsia="方正小标宋_GBK"/>
          <w:sz w:val="40"/>
          <w:szCs w:val="40"/>
        </w:rPr>
        <w:t>2020年全国射击锦标赛竞赛规程</w:t>
      </w:r>
    </w:p>
    <w:p>
      <w:pPr>
        <w:spacing w:line="600" w:lineRule="exact"/>
        <w:ind w:firstLine="600" w:firstLineChars="200"/>
        <w:rPr>
          <w:rFonts w:hint="eastAsia" w:ascii="仿宋" w:hAnsi="仿宋" w:eastAsia="仿宋"/>
          <w:sz w:val="30"/>
          <w:szCs w:val="30"/>
        </w:rPr>
      </w:pP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一、竞赛日期和地点</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步枪项目将于2020年10-11月在浙江长兴举行；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手枪项目将于2020年10-11月在福建莆田举行；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飞碟项目将于2020年10-11月在山西临汾举行。</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二、竞赛项目</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男子项目</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（一）50米步枪3种姿势</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（二）10米气步枪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（三）25米手枪速射</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（四）10米气手枪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（五）飞碟多向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（六）飞碟双向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（七）50米步枪3种姿势团体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（八）10米气步枪团体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（九）25米手枪速射团体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（十）10米气手枪团体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（十一）飞碟多向团体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（十二）飞碟双向团体</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女子项目</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（一）50米步枪3种姿势</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（二）10米气步枪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（三）25米手枪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（四）10米气手枪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（五）飞碟多向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（六）飞碟双向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（七）50米步枪3种姿势团体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（八）10米气步枪团体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（九）25米手枪团体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（十）10米气手枪团体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（十一）飞碟多向团体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（十二）飞碟双向团体</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混合团体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（一）10米气手枪混合团体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（二）10米气步枪混合团体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（三）飞碟多向混合团体</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三、参加单位</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各省、自治区、直辖市、新疆生产建设兵团，解放军、清华大学射击队可组队参赛。</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四、参加办法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（一）各省、自治区、直辖市、新疆生产建设兵团，解放军、清华大学射击队</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1.个人项目每单位每小项参赛运动员最多为3人（含兼项运动员）。</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2.混合团体项目，每单位每小项参赛运动员最多为4人（2男2女，必须为兼项运动员，不可跨单位组队参赛）。</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3.国家集训队队员报名参赛占用原代表单位的报名名额。</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（二）运动员可以兼项，所兼项目任选。所兼项目与竞赛日程有矛盾时，运动员自行调整。</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（三）运动员必须随身携带二代身份证，竞赛中查验。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（四）所有参赛运动员需在本单位完成体能自测，并将自测成绩上报赛事组委会，体能达标运动员方可参赛。</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所有参赛运动员、教练员、官员在抵达赛区前14天内没有中、高风险地区旅行史，没有确诊或疑似人员接触史，14日内居住地无确诊病例，体温正常且无其他身体不适，持“健康码”、个人健康状况“承诺书”方可启程参赛。</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五、竞赛办法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（一）竞赛规则采用中国射击协会审定的最新《射击规则》和国际射联修订的补充条款。</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（二）各项目个人赛和团体赛同时进行。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团体赛成绩为指定参加团体赛的3名运动员成绩之和。不足3人的代表队不计团体成绩，只计个人成绩。</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（三）个人及混合团体项目进行决赛。</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（四）各项目名次不得并列，如有成绩相同，均按中国射击协会审定的最新《射击规则》和国际射联修订的补充条款评定。</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（五）比赛中，运动员记分射脱靶、空枪击发，应立即向裁判员报告，不报告及弄虚作假者，一经发现，将立即取消该运动员比赛资格及所取得的成绩。</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（六）参加团体赛的运动员必须在报名时予以注明。</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（七）所有参赛运动员具体体测方案参见《2020年全国射击锦标赛体能测试方案》（另行通知）。</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六、录取名次和奖励</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各项目个人赛参赛不足3个单位时，取消该项目比赛。参赛3个单位（含）以上时，参赛不足8人取消该项目比赛；参赛8-10人录取前3名，颁发奖牌和证书；参赛11-12人录取前6名，颁发奖牌和证书；参赛13人（含）以上，奥运会项目录取前8名，非奥运会项目录取前6名，颁发奖牌和证书。</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（二）混合团体项目参赛不足3个单位时，取消该项目比赛。参赛3个单位及以上时，参赛不足5队取消该项目比赛；参赛5-7队取前3名，参赛8-10队录取前6名，参赛11队及以上录取前8名，颁发奖牌和证书。</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w:t>
      </w:r>
      <w:r>
        <w:rPr>
          <w:rFonts w:hint="eastAsia" w:ascii="仿宋" w:hAnsi="仿宋" w:eastAsia="仿宋"/>
          <w:spacing w:val="2"/>
          <w:sz w:val="30"/>
          <w:szCs w:val="30"/>
        </w:rPr>
        <w:t>2020年全国射击锦标赛中l0米气步枪团体、10米气手枪团</w:t>
      </w:r>
      <w:r>
        <w:rPr>
          <w:rFonts w:hint="eastAsia" w:ascii="仿宋" w:hAnsi="仿宋" w:eastAsia="仿宋"/>
          <w:sz w:val="30"/>
          <w:szCs w:val="30"/>
        </w:rPr>
        <w:t>体，将依据团体项目资格赛成绩排名，确定男、女团体各10个全运会决赛席位。男子25米手枪速射团体、女子飞碟双向团体，将依据团体项目资格赛成绩排名，确定各8个全运会决赛席位。男子飞碟多向、男子飞碟双向、女子飞碟多向，每项目将设置10个全运会决赛席位。以上如与《第十四届全国运动会射击项目席位办法》冲突，以正式下发的《第十四届全国运动会射击项目席位办法》为准（另行通知）。</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七、报名和报到</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（一）报名方式</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1.请各单位登陆中国射击协会官方网站网上报名系统报名参赛，指定参加团体赛的运动员必须在报名系统中分别注明。报名截止后，系统自动关闭，不接受任何逾期报名。</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2.各参赛单位需提供未注册运动员代表其参赛的相关证明材料并加盖公章。请各单位于报名截止日期前将相关证明材料发送至射击部邮箱（shejibushooting@sina.com）。</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3.各单位需在报名截止日期前将参赛运动员省内体测成绩证明加盖单位公章发送至射击部邮箱（shejibushooting@sina.com）。赛时体测选择2000米测功仪的运动员需在材料中提前注明，并将相关伤病证明扫描附后。</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报名截止后不得增报运动员。所有调换须在补充通知规定的正式报到时完成。每更改一处，需向大会交纳手续费100元，抽签后同项目内的运动员之间不得调换；弃权需向大会交纳手续费每人每项300元，并在弃权项目的赛前上交，如不上交，取消该队该项及其以后其他项目的参赛资格。</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（三）各代表队负责人须于补充通知规定的正式报到日16：00前，对本单位的报名情况签字确认，否则视为认可。</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（四）报到日期、竞赛日程及有关事项，由承办单位另行通知。补充通知和初步竞赛日程于赛前规定时间内报主办单位审定，并在中国射击协会网站公布。</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八、竞赛器材</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（一）枪支、子弹自备。</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（二）枪支、子弹运输必须严格遵守《中华人民共和国枪支管理法》和公安、交通等部门的有关规定。</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九、其他事项</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承办单位须严格按国家体育总局和射运中心下发的《赛区工作管理规定》组织比赛，按照与主办单位签订的协议书履行各项条款，有关赞助、冠名计划、电视转播计划、赛场内商业活动须事先上报。</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十、未尽事宜，由承办单位另行通知。</w:t>
      </w:r>
    </w:p>
    <w:p>
      <w:bookmarkStart w:id="0" w:name="_GoBack"/>
      <w:bookmarkEnd w:id="0"/>
    </w:p>
    <w:sectPr>
      <w:headerReference r:id="rId3" w:type="default"/>
      <w:footerReference r:id="rId5" w:type="default"/>
      <w:headerReference r:id="rId4" w:type="even"/>
      <w:footerReference r:id="rId6" w:type="even"/>
      <w:pgSz w:w="11906" w:h="16838"/>
      <w:pgMar w:top="1440" w:right="1134" w:bottom="1418" w:left="1134"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jc w:val="right"/>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w:t>
    </w:r>
    <w:r>
      <w:rPr>
        <w:rFonts w:ascii="宋体" w:hAnsi="宋体"/>
        <w:sz w:val="28"/>
      </w:rPr>
      <w:fldChar w:fldCharType="end"/>
    </w:r>
    <w:r>
      <w:rPr>
        <w:rFonts w:hint="eastAsia"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2</w:t>
    </w:r>
    <w:r>
      <w:rPr>
        <w:rFonts w:ascii="宋体" w:hAnsi="宋体"/>
        <w:sz w:val="28"/>
      </w:rPr>
      <w:fldChar w:fldCharType="end"/>
    </w:r>
    <w:r>
      <w:rPr>
        <w:rFonts w:hint="eastAsia" w:ascii="宋体" w:hAnsi="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31BA7"/>
    <w:rsid w:val="54C3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2020-09-29T09:13:00Z</dcterms:created>
  <dc:creator>韩小特意安</dc:creator>
  <cp:lastModifiedBy>韩小特意安</cp:lastModifiedBy>
  <dcterms:modified xsi:type="dcterms:W3CDTF">2020-09-29T09:13:27Z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