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40"/>
          <w:szCs w:val="40"/>
        </w:rPr>
      </w:pPr>
      <w:r>
        <w:rPr>
          <w:rStyle w:val="5"/>
          <w:rFonts w:hint="eastAsia" w:ascii="华文中宋" w:hAnsi="华文中宋" w:eastAsia="华文中宋" w:cs="华文中宋"/>
          <w:b w:val="0"/>
          <w:bCs/>
          <w:color w:val="auto"/>
          <w:sz w:val="40"/>
          <w:szCs w:val="40"/>
          <w:shd w:val="clear" w:fill="FFFFFF"/>
          <w:lang w:val="en-US" w:eastAsia="zh-CN"/>
        </w:rPr>
        <w:t>射箭（专业）</w:t>
      </w:r>
      <w:r>
        <w:rPr>
          <w:rStyle w:val="5"/>
          <w:rFonts w:hint="eastAsia" w:ascii="华文中宋" w:hAnsi="华文中宋" w:eastAsia="华文中宋" w:cs="华文中宋"/>
          <w:b w:val="0"/>
          <w:bCs/>
          <w:color w:val="auto"/>
          <w:sz w:val="40"/>
          <w:szCs w:val="40"/>
          <w:shd w:val="clear" w:fill="FFFFFF"/>
        </w:rPr>
        <w:t>赛事活动参赛指引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 w:firstLine="643" w:firstLineChars="200"/>
        <w:jc w:val="center"/>
        <w:textAlignment w:val="auto"/>
        <w:rPr>
          <w:rStyle w:val="5"/>
          <w:rFonts w:hint="eastAsia" w:ascii="黑体" w:hAnsi="黑体" w:eastAsia="黑体" w:cs="黑体"/>
          <w:b/>
          <w:color w:val="auto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  <w:t>第一章 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为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落实《体育赛事活动管理办法》（国家体育总局令第25号），为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射箭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赛事活动参赛者提供优质服务，促进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射箭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运动健康发展，制定本参赛指引。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本指引是参加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射箭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赛事活动必须了解的事项，目的是希望参赛者尽可能减少不必要的失误，发挥训练水平，安全顺利完赛，取得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优异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成绩。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  <w:t>第二章 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shd w:val="clear" w:fill="FFFFFF"/>
          <w:lang w:val="en-US" w:eastAsia="zh-CN" w:bidi="ar"/>
        </w:rPr>
        <w:t>一、阅读竞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赛规程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和补充通知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竞赛规程是组委会举办比赛的纲领性文件，主要包括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shd w:val="clear" w:fill="FFFFFF"/>
          <w:lang w:val="en-US" w:eastAsia="zh-CN" w:bidi="ar"/>
        </w:rPr>
        <w:t>比赛时间和地点、竞赛项目、参赛单位、运动员资格、参加办法、竞赛办法、录取名次、报名和报到、竞赛器材、联系方式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等，以及赛事组织方的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要求。竞赛规程一般会在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中国射箭协会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官方网站上提前公布，参赛者根据规程合理安排训练，积极作好参赛准备。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补充通知是赛事组织方关于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报名、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报到、收费等事宜的文件，一般于赛前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0天左右在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中国射箭协会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官方网站上提前公布。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阅读补充通知时注意以下事项：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（一）报名方式和报名时间。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（二）报到时间和报到地点。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（三）收费标准，包括：伙食费，竞赛费（超编运动员如何收费），领队、教练及工作人员费用，提前报道或延迟离会费用，更换运动员费用，接送站费用等。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（四）收费方式。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二、报名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（一）按照补充通知要求在规定时间内报名。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（二）如需提供纸质报名表的，须将报名表按要求发送给承办单位，报名表上要写明联系人和联系方式。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（三）及时与承办单位联系确认报名是否成功。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（四）如需接送站，提前与赛区接送站人员联系，做好相应安排，并将抵离信息按要求发送给承办单位。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（五）参赛运动员需经医务部门检查，证明身体健康合格后方可参赛。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按照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承办单位安排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，办理完成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参赛缴费等事宜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  <w:t>第三章 赛前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根据竞赛日程，做好赛前训练，同时避免运动损伤。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提前预订好往返车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机）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票，安排好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往返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行程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如需接站，要与承办单位保持联系，及时了解接站信息。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提前准备好参赛所必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的器材、服装和个人证件等。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报到时领取秩序册及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 xml:space="preserve">证件。认真阅读秩序册内容，核对参赛项目是否准确，如有问题务必于技术会议上提出并复核。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遵守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赛事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组委会统一安排，严格按照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赛事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日程安排和要求，按规定乘车、用餐，按时参加相关会议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参加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器材检查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、比赛、颁奖以及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开闭幕式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等活动。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六、文明参赛。遵守赛事相关规定，服从管理，比赛场内严禁吸烟、乱扔垃圾等不文明行为。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七、各代表队至少选派一名领队或教练员按要求参加组委会及技术会议。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  <w:t>第四章 赛中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加强安全意识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赛事期间若出现身体不适要及时向组委会联系，第一时间就医，谨遵医嘱，不勉强参赛；赛场设有医务处，比赛时如有不适及时向医生询问；未经领队、教练同意不得私自外出就餐，避免食品卫生安全隐患和食源性兴奋剂情况发生；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不单独外出，不参加非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赛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会组织的活动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比赛过程中，严格遵守赛场秩序，注意人身安全。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二、参赛运动员提前准备好弓、箭、辅助器材及服装于正式练习日在比赛场地进行器材检查。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三、比赛过程中，如运动员（队）有申诉意向，须将意向在有关轮次或对抗赛结束后5分钟之内（决赛期间须在上一场比赛结束后或下一场比赛开始前5分钟内）提交给总裁判长，书面的申诉在有关轮次或对抗赛结束15分钟内提交给仲裁委员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按照公布的成绩（名次）做好参加颁奖仪式的各项准备工作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五、需要接受兴奋剂检查的运动员要严格遵守兴奋剂检查相关规定，按照检查官要求接受兴奋剂检查。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六、按照赛事组委会要求参加开闭幕式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  <w:t>第五章 赛后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一、返程前与承办单位确认奖牌、证书和成绩册的领取时间和方式；及时向承办单位联系办理相关费用、发票事宜；如需送站，要与承办单位保持联系，及时了解送站信息。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比赛结束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返程途中，注意行程安全。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0"/>
          <w:szCs w:val="30"/>
          <w:shd w:val="clear" w:fill="FFFFFF"/>
          <w:lang w:val="en-US" w:eastAsia="zh-CN"/>
        </w:rPr>
        <w:t>第六章 附则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本指引解释权属于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国家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体育总局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射击射箭运动管理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中心和中国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  <w:lang w:val="en-US" w:eastAsia="zh-CN"/>
        </w:rPr>
        <w:t>射箭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fill="FFFFFF"/>
        </w:rPr>
        <w:t>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7876"/>
    <w:rsid w:val="0446777A"/>
    <w:rsid w:val="059B5EA0"/>
    <w:rsid w:val="065C0636"/>
    <w:rsid w:val="08C30B75"/>
    <w:rsid w:val="098D73A6"/>
    <w:rsid w:val="0D5B0662"/>
    <w:rsid w:val="10537EC1"/>
    <w:rsid w:val="10C453A7"/>
    <w:rsid w:val="11E93718"/>
    <w:rsid w:val="13374762"/>
    <w:rsid w:val="13BF2D8B"/>
    <w:rsid w:val="14F86D80"/>
    <w:rsid w:val="159A092E"/>
    <w:rsid w:val="15B1586E"/>
    <w:rsid w:val="17E6617A"/>
    <w:rsid w:val="18C17818"/>
    <w:rsid w:val="1E330238"/>
    <w:rsid w:val="235036E7"/>
    <w:rsid w:val="24BF0918"/>
    <w:rsid w:val="281522E0"/>
    <w:rsid w:val="282C0E67"/>
    <w:rsid w:val="2F6410D2"/>
    <w:rsid w:val="2FBF1760"/>
    <w:rsid w:val="37DE1AC1"/>
    <w:rsid w:val="38A074AA"/>
    <w:rsid w:val="394223CA"/>
    <w:rsid w:val="3BD1177D"/>
    <w:rsid w:val="3CB26DF1"/>
    <w:rsid w:val="3D704B57"/>
    <w:rsid w:val="40CB0630"/>
    <w:rsid w:val="442F2183"/>
    <w:rsid w:val="44AD503F"/>
    <w:rsid w:val="46C93AD3"/>
    <w:rsid w:val="477F42C7"/>
    <w:rsid w:val="490D5DB4"/>
    <w:rsid w:val="49503C79"/>
    <w:rsid w:val="4B086495"/>
    <w:rsid w:val="4B206502"/>
    <w:rsid w:val="4B2C2C9F"/>
    <w:rsid w:val="4CB1746A"/>
    <w:rsid w:val="4EC45F9C"/>
    <w:rsid w:val="4F4769CE"/>
    <w:rsid w:val="504D0FD6"/>
    <w:rsid w:val="54185475"/>
    <w:rsid w:val="569E6098"/>
    <w:rsid w:val="59133462"/>
    <w:rsid w:val="5ACD7648"/>
    <w:rsid w:val="5C032410"/>
    <w:rsid w:val="5D055363"/>
    <w:rsid w:val="5F091646"/>
    <w:rsid w:val="60804DCE"/>
    <w:rsid w:val="63B0450C"/>
    <w:rsid w:val="6AF155AC"/>
    <w:rsid w:val="6D02196A"/>
    <w:rsid w:val="6EA32464"/>
    <w:rsid w:val="6FF64669"/>
    <w:rsid w:val="717B6FFE"/>
    <w:rsid w:val="73D044C1"/>
    <w:rsid w:val="76CA66FB"/>
    <w:rsid w:val="7839082A"/>
    <w:rsid w:val="7BFA0B53"/>
    <w:rsid w:val="7F271584"/>
    <w:rsid w:val="7F2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666666"/>
      <w:u w:val="none"/>
    </w:rPr>
  </w:style>
  <w:style w:type="character" w:styleId="10">
    <w:name w:val="HTML Code"/>
    <w:basedOn w:val="4"/>
    <w:qFormat/>
    <w:uiPriority w:val="0"/>
    <w:rPr>
      <w:rFonts w:ascii="serif" w:hAnsi="serif" w:eastAsia="serif" w:cs="serif"/>
      <w:color w:val="EA644A"/>
      <w:sz w:val="21"/>
      <w:szCs w:val="21"/>
      <w:bdr w:val="single" w:color="D7D7D7" w:sz="6" w:space="0"/>
      <w:shd w:val="clear" w:fill="F1F1F1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4">
    <w:name w:val="bds_nopic"/>
    <w:basedOn w:val="4"/>
    <w:qFormat/>
    <w:uiPriority w:val="0"/>
  </w:style>
  <w:style w:type="character" w:customStyle="1" w:styleId="15">
    <w:name w:val="bds_nopic1"/>
    <w:basedOn w:val="4"/>
    <w:qFormat/>
    <w:uiPriority w:val="0"/>
  </w:style>
  <w:style w:type="character" w:customStyle="1" w:styleId="16">
    <w:name w:val="bds_nopic2"/>
    <w:basedOn w:val="4"/>
    <w:qFormat/>
    <w:uiPriority w:val="0"/>
  </w:style>
  <w:style w:type="character" w:customStyle="1" w:styleId="17">
    <w:name w:val="bds_more"/>
    <w:basedOn w:val="4"/>
    <w:qFormat/>
    <w:uiPriority w:val="0"/>
  </w:style>
  <w:style w:type="character" w:customStyle="1" w:styleId="18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2"/>
    <w:basedOn w:val="4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2020-05-28T01:15:00Z</dcterms:created>
  <dc:creator>Archery</dc:creator>
  <cp:lastModifiedBy>Archery</cp:lastModifiedBy>
  <cp:lastPrinted>2020-07-08T07:51:00Z</cp:lastPrinted>
  <dcterms:modified xsi:type="dcterms:W3CDTF">2020-09-21T02:32:54Z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