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after="0"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2019-2020年雪季全国冰雪运动场所</w:t>
      </w:r>
    </w:p>
    <w:p>
      <w:pPr>
        <w:snapToGrid/>
        <w:spacing w:after="0"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监督抽查检验方案</w:t>
      </w:r>
    </w:p>
    <w:p>
      <w:pPr>
        <w:snapToGrid/>
        <w:spacing w:after="0" w:line="360" w:lineRule="auto"/>
        <w:ind w:firstLine="640" w:firstLineChars="200"/>
        <w:jc w:val="both"/>
        <w:rPr>
          <w:rFonts w:ascii="仿宋" w:hAnsi="仿宋" w:eastAsia="仿宋" w:cs="Times New Roman"/>
          <w:sz w:val="32"/>
          <w:szCs w:val="32"/>
        </w:rPr>
      </w:pPr>
    </w:p>
    <w:p>
      <w:pPr>
        <w:snapToGrid/>
        <w:spacing w:after="0" w:line="360" w:lineRule="auto"/>
        <w:ind w:firstLine="640" w:firstLineChars="200"/>
        <w:jc w:val="both"/>
        <w:rPr>
          <w:rFonts w:ascii="黑体" w:hAnsi="黑体" w:eastAsia="黑体" w:cs="Times New Roman"/>
          <w:bCs/>
          <w:sz w:val="32"/>
          <w:szCs w:val="32"/>
        </w:rPr>
      </w:pPr>
      <w:r>
        <w:rPr>
          <w:rFonts w:hint="eastAsia" w:ascii="黑体" w:hAnsi="黑体" w:eastAsia="黑体" w:cs="Times New Roman"/>
          <w:bCs/>
          <w:sz w:val="32"/>
          <w:szCs w:val="32"/>
        </w:rPr>
        <w:t>一、</w:t>
      </w:r>
      <w:r>
        <w:rPr>
          <w:rFonts w:hint="eastAsia" w:ascii="黑体" w:hAnsi="黑体" w:eastAsia="黑体"/>
          <w:bCs/>
          <w:sz w:val="32"/>
          <w:szCs w:val="32"/>
        </w:rPr>
        <w:t>检验</w:t>
      </w:r>
      <w:r>
        <w:rPr>
          <w:rFonts w:hint="eastAsia" w:ascii="黑体" w:hAnsi="黑体" w:eastAsia="黑体" w:cs="Times New Roman"/>
          <w:bCs/>
          <w:sz w:val="32"/>
          <w:szCs w:val="32"/>
        </w:rPr>
        <w:t>时间</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20</w:t>
      </w:r>
      <w:r>
        <w:rPr>
          <w:rFonts w:hint="eastAsia" w:ascii="仿宋" w:hAnsi="仿宋" w:eastAsia="仿宋"/>
          <w:sz w:val="32"/>
          <w:szCs w:val="32"/>
        </w:rPr>
        <w:t>19</w:t>
      </w:r>
      <w:r>
        <w:rPr>
          <w:rFonts w:hint="eastAsia" w:ascii="仿宋" w:hAnsi="仿宋" w:eastAsia="仿宋" w:cs="Times New Roman"/>
          <w:sz w:val="32"/>
          <w:szCs w:val="32"/>
        </w:rPr>
        <w:t>年1</w:t>
      </w:r>
      <w:r>
        <w:rPr>
          <w:rFonts w:hint="eastAsia" w:ascii="仿宋" w:hAnsi="仿宋" w:eastAsia="仿宋"/>
          <w:sz w:val="32"/>
          <w:szCs w:val="32"/>
        </w:rPr>
        <w:t>2</w:t>
      </w:r>
      <w:r>
        <w:rPr>
          <w:rFonts w:hint="eastAsia" w:ascii="仿宋" w:hAnsi="仿宋" w:eastAsia="仿宋" w:cs="Times New Roman"/>
          <w:sz w:val="32"/>
          <w:szCs w:val="32"/>
        </w:rPr>
        <w:t>月</w:t>
      </w:r>
      <w:r>
        <w:rPr>
          <w:rFonts w:hint="eastAsia" w:ascii="仿宋" w:hAnsi="仿宋" w:eastAsia="仿宋"/>
          <w:sz w:val="32"/>
          <w:szCs w:val="32"/>
        </w:rPr>
        <w:t>16</w:t>
      </w:r>
      <w:r>
        <w:rPr>
          <w:rFonts w:hint="eastAsia" w:ascii="仿宋" w:hAnsi="仿宋" w:eastAsia="仿宋" w:cs="Times New Roman"/>
          <w:sz w:val="32"/>
          <w:szCs w:val="32"/>
        </w:rPr>
        <w:t>日至2</w:t>
      </w:r>
      <w:r>
        <w:rPr>
          <w:rFonts w:ascii="仿宋" w:hAnsi="仿宋" w:eastAsia="仿宋" w:cs="Times New Roman"/>
          <w:sz w:val="32"/>
          <w:szCs w:val="32"/>
        </w:rPr>
        <w:t>020</w:t>
      </w:r>
      <w:r>
        <w:rPr>
          <w:rFonts w:hint="eastAsia" w:ascii="仿宋" w:hAnsi="仿宋" w:eastAsia="仿宋" w:cs="Times New Roman"/>
          <w:sz w:val="32"/>
          <w:szCs w:val="32"/>
        </w:rPr>
        <w:t>年</w:t>
      </w:r>
      <w:r>
        <w:rPr>
          <w:rFonts w:hint="eastAsia" w:ascii="仿宋" w:hAnsi="仿宋" w:eastAsia="仿宋"/>
          <w:sz w:val="32"/>
          <w:szCs w:val="32"/>
        </w:rPr>
        <w:t>1</w:t>
      </w:r>
      <w:r>
        <w:rPr>
          <w:rFonts w:hint="eastAsia" w:ascii="仿宋" w:hAnsi="仿宋" w:eastAsia="仿宋" w:cs="Times New Roman"/>
          <w:sz w:val="32"/>
          <w:szCs w:val="32"/>
        </w:rPr>
        <w:t>月16日。</w:t>
      </w:r>
    </w:p>
    <w:p>
      <w:pPr>
        <w:snapToGrid/>
        <w:spacing w:after="0" w:line="360" w:lineRule="auto"/>
        <w:ind w:firstLine="640" w:firstLineChars="200"/>
        <w:jc w:val="both"/>
        <w:rPr>
          <w:rFonts w:ascii="黑体" w:hAnsi="黑体" w:eastAsia="黑体" w:cs="Times New Roman"/>
          <w:bCs/>
          <w:sz w:val="32"/>
          <w:szCs w:val="32"/>
        </w:rPr>
      </w:pPr>
      <w:r>
        <w:rPr>
          <w:rFonts w:hint="eastAsia" w:ascii="黑体" w:hAnsi="黑体" w:eastAsia="黑体"/>
          <w:bCs/>
          <w:sz w:val="32"/>
          <w:szCs w:val="32"/>
        </w:rPr>
        <w:t>二、检验</w:t>
      </w:r>
      <w:r>
        <w:rPr>
          <w:rFonts w:hint="eastAsia" w:ascii="黑体" w:hAnsi="黑体" w:eastAsia="黑体" w:cs="Times New Roman"/>
          <w:bCs/>
          <w:sz w:val="32"/>
          <w:szCs w:val="32"/>
        </w:rPr>
        <w:t>依据</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滑雪场所的检验依据是国家强制性标准：GB 19079.6-2013《体育场所开放条件与技术要求 第6部分：滑雪场所》。</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滑冰场所的检验依据是国家强制性标准：GB 19079.7-2013《体育场所开放条件与技术要求 第7部分：花样滑冰场所》和GB 19079.20-2013《体育场所开放条件与技术要求 第20部分：冰球场所》。</w:t>
      </w:r>
    </w:p>
    <w:p>
      <w:pPr>
        <w:snapToGrid/>
        <w:spacing w:after="0" w:line="360" w:lineRule="auto"/>
        <w:ind w:firstLine="640" w:firstLineChars="200"/>
        <w:jc w:val="both"/>
        <w:rPr>
          <w:rFonts w:ascii="黑体" w:hAnsi="黑体" w:eastAsia="黑体" w:cs="Times New Roman"/>
          <w:bCs/>
          <w:sz w:val="32"/>
          <w:szCs w:val="32"/>
        </w:rPr>
      </w:pPr>
      <w:r>
        <w:rPr>
          <w:rFonts w:hint="eastAsia" w:ascii="黑体" w:hAnsi="黑体" w:eastAsia="黑体" w:cs="Times New Roman"/>
          <w:bCs/>
          <w:sz w:val="32"/>
          <w:szCs w:val="32"/>
        </w:rPr>
        <w:t>三、抽查范围</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共抽查30个向社会开放的滑雪场所和20个向社会开放的滑冰场所进行技术检验，抽查区域确定的原则是：基本覆盖冰雪场所数量较多或增加较快的省份，并按照地域分布涵盖了我国各典型地区，使抽查结果更具代表性。</w:t>
      </w:r>
    </w:p>
    <w:p>
      <w:pPr>
        <w:snapToGrid/>
        <w:spacing w:after="0" w:line="360" w:lineRule="auto"/>
        <w:ind w:firstLine="640" w:firstLineChars="200"/>
        <w:jc w:val="both"/>
        <w:rPr>
          <w:rFonts w:ascii="黑体" w:hAnsi="黑体" w:eastAsia="黑体" w:cs="Times New Roman"/>
          <w:bCs/>
          <w:sz w:val="32"/>
          <w:szCs w:val="32"/>
        </w:rPr>
      </w:pPr>
      <w:r>
        <w:rPr>
          <w:rFonts w:hint="eastAsia" w:ascii="黑体" w:hAnsi="黑体" w:eastAsia="黑体" w:cs="Times New Roman"/>
          <w:bCs/>
          <w:sz w:val="32"/>
          <w:szCs w:val="32"/>
        </w:rPr>
        <w:t>四、抽查步骤</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1．各省（区、市）体育局于2019年12月15日前向体育总局冬运中心报送本行政区域内冰雪运动场所名单（名单内容包括：经营单位、场所名称、详细地址、法人代表、联系人和联系电话）。</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2．在体育总局联合检查组指导下，体育总局冬运中心随机抽取受检单位，并与相关省市体育局共同确认检验名单。</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3．确定抽取的受检单位因故无法进行检验的，可按顺序号再次抽取。</w:t>
      </w:r>
    </w:p>
    <w:p>
      <w:pPr>
        <w:snapToGrid/>
        <w:spacing w:after="0" w:line="360" w:lineRule="auto"/>
        <w:ind w:firstLine="640" w:firstLineChars="200"/>
        <w:jc w:val="both"/>
        <w:rPr>
          <w:rFonts w:ascii="仿宋" w:hAnsi="仿宋" w:eastAsia="仿宋" w:cs="Times New Roman"/>
          <w:b/>
          <w:sz w:val="32"/>
          <w:szCs w:val="32"/>
        </w:rPr>
      </w:pPr>
      <w:r>
        <w:rPr>
          <w:rFonts w:hint="eastAsia" w:ascii="仿宋" w:hAnsi="仿宋" w:eastAsia="仿宋" w:cs="Times New Roman"/>
          <w:sz w:val="32"/>
          <w:szCs w:val="32"/>
        </w:rPr>
        <w:t>4.对已经确认抽取的受检单位因故无法进行检验的，由所在省区市体育局出具证明并说明理由。无正当理由拒检的单位，判定为不合格。</w:t>
      </w:r>
    </w:p>
    <w:p>
      <w:pPr>
        <w:snapToGrid/>
        <w:spacing w:after="0" w:line="360" w:lineRule="auto"/>
        <w:ind w:firstLine="640" w:firstLineChars="200"/>
        <w:jc w:val="both"/>
        <w:rPr>
          <w:rFonts w:ascii="黑体" w:hAnsi="黑体" w:eastAsia="黑体" w:cs="Times New Roman"/>
          <w:bCs/>
          <w:sz w:val="32"/>
          <w:szCs w:val="32"/>
        </w:rPr>
      </w:pPr>
      <w:r>
        <w:rPr>
          <w:rFonts w:hint="eastAsia" w:ascii="黑体" w:hAnsi="黑体" w:eastAsia="黑体" w:cs="Times New Roman"/>
          <w:bCs/>
          <w:sz w:val="32"/>
          <w:szCs w:val="32"/>
        </w:rPr>
        <w:t>五、检验方法、结论判定及检验报告</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（一）体育总局冬运中心委托体育总局体科所体育服务检验中心严格按照检验机构认可准则的规定，依据国家标准要求逐项对冰雪场所进行检验并予以记录。</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二）按照国家标准要求进行结论判定。受检场所全部项目合格的，检验结论为“合格”；受检场所存在不符合项的，检验结论为“不合格”。为了如实反映冰雪场所质量和安全生产状况，对不符合项要给予具体说明。</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（三）体育总局体科所体育服务检验中心对每个受检场所出具两份检验报告，分别送工作组和有关省区市体育局。</w:t>
      </w:r>
    </w:p>
    <w:p>
      <w:pPr>
        <w:snapToGrid/>
        <w:spacing w:after="0" w:line="360" w:lineRule="auto"/>
        <w:ind w:firstLine="640" w:firstLineChars="200"/>
        <w:jc w:val="both"/>
        <w:rPr>
          <w:rFonts w:ascii="黑体" w:hAnsi="黑体" w:eastAsia="黑体" w:cs="Times New Roman"/>
          <w:bCs/>
          <w:sz w:val="32"/>
          <w:szCs w:val="32"/>
        </w:rPr>
      </w:pPr>
      <w:r>
        <w:rPr>
          <w:rFonts w:hint="eastAsia" w:ascii="黑体" w:hAnsi="黑体" w:eastAsia="黑体" w:cs="Times New Roman"/>
          <w:bCs/>
          <w:sz w:val="32"/>
          <w:szCs w:val="32"/>
        </w:rPr>
        <w:t>六、联系方式</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联系人：洪扬 程宏军</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电话：</w:t>
      </w:r>
      <w:r>
        <w:rPr>
          <w:rFonts w:ascii="仿宋" w:hAnsi="仿宋" w:eastAsia="仿宋" w:cs="Times New Roman"/>
          <w:sz w:val="32"/>
          <w:szCs w:val="32"/>
        </w:rPr>
        <w:t>010</w:t>
      </w:r>
      <w:r>
        <w:rPr>
          <w:rFonts w:hint="eastAsia" w:ascii="仿宋" w:hAnsi="仿宋" w:eastAsia="仿宋" w:cs="Times New Roman"/>
          <w:sz w:val="32"/>
          <w:szCs w:val="32"/>
        </w:rPr>
        <w:t>-</w:t>
      </w:r>
      <w:r>
        <w:rPr>
          <w:rFonts w:ascii="仿宋" w:hAnsi="仿宋" w:eastAsia="仿宋" w:cs="Times New Roman"/>
          <w:sz w:val="32"/>
          <w:szCs w:val="32"/>
        </w:rPr>
        <w:t>87182546 010</w:t>
      </w:r>
      <w:r>
        <w:rPr>
          <w:rFonts w:hint="eastAsia" w:ascii="仿宋" w:hAnsi="仿宋" w:eastAsia="仿宋" w:cs="Times New Roman"/>
          <w:sz w:val="32"/>
          <w:szCs w:val="32"/>
        </w:rPr>
        <w:t>-8</w:t>
      </w:r>
      <w:r>
        <w:rPr>
          <w:rFonts w:ascii="仿宋" w:hAnsi="仿宋" w:eastAsia="仿宋" w:cs="Times New Roman"/>
          <w:sz w:val="32"/>
          <w:szCs w:val="32"/>
        </w:rPr>
        <w:t>8318315</w:t>
      </w:r>
    </w:p>
    <w:p>
      <w:pPr>
        <w:snapToGrid/>
        <w:spacing w:after="0" w:line="360" w:lineRule="auto"/>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E-mail：</w:t>
      </w:r>
      <w:r>
        <w:rPr>
          <w:rFonts w:ascii="仿宋" w:hAnsi="仿宋" w:eastAsia="仿宋" w:cs="Times New Roman"/>
          <w:sz w:val="32"/>
          <w:szCs w:val="32"/>
        </w:rPr>
        <w:t>zgbxdzb@126.com</w:t>
      </w:r>
    </w:p>
    <w:p>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04974"/>
    <w:rsid w:val="0170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2019-12-17T03:13:00Z</dcterms:created>
  <dc:creator>王雅君 Olivia</dc:creator>
  <cp:lastModifiedBy>王雅君 Olivia</cp:lastModifiedBy>
  <dcterms:modified xsi:type="dcterms:W3CDTF">2019-12-17T03:14:14Z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