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B8" w:rsidRPr="004A6DA5" w:rsidRDefault="00B03DB8" w:rsidP="00B03DB8">
      <w:pPr>
        <w:spacing w:line="360" w:lineRule="auto"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4A6DA5"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5</w:t>
      </w:r>
    </w:p>
    <w:p w:rsidR="00B03DB8" w:rsidRDefault="00B03DB8" w:rsidP="00B03DB8">
      <w:pPr>
        <w:tabs>
          <w:tab w:val="left" w:pos="7938"/>
        </w:tabs>
        <w:rPr>
          <w:sz w:val="36"/>
          <w:szCs w:val="36"/>
        </w:rPr>
      </w:pPr>
    </w:p>
    <w:p w:rsidR="00B03DB8" w:rsidRDefault="00B03DB8">
      <w:pPr>
        <w:tabs>
          <w:tab w:val="left" w:pos="7938"/>
        </w:tabs>
        <w:jc w:val="center"/>
        <w:rPr>
          <w:sz w:val="36"/>
          <w:szCs w:val="36"/>
        </w:rPr>
      </w:pPr>
    </w:p>
    <w:p w:rsidR="007E401A" w:rsidRPr="007E401A" w:rsidRDefault="000A4255" w:rsidP="007E401A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2020年</w:t>
      </w:r>
      <w:bookmarkStart w:id="0" w:name="_GoBack"/>
      <w:bookmarkEnd w:id="0"/>
      <w:r w:rsidR="006F2BC9" w:rsidRPr="007E401A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全国青少年羽毛球赛事</w:t>
      </w:r>
      <w:r w:rsidR="00B03DB8" w:rsidRPr="007E401A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和活动</w:t>
      </w:r>
    </w:p>
    <w:p w:rsidR="006B3CCA" w:rsidRPr="007E401A" w:rsidRDefault="006F2BC9" w:rsidP="007E401A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2"/>
        </w:rPr>
      </w:pPr>
      <w:r w:rsidRPr="007E401A">
        <w:rPr>
          <w:rFonts w:ascii="宋体" w:eastAsia="宋体" w:hAnsi="宋体" w:cs="宋体" w:hint="eastAsia"/>
          <w:b/>
          <w:bCs/>
          <w:kern w:val="0"/>
          <w:sz w:val="36"/>
          <w:szCs w:val="32"/>
        </w:rPr>
        <w:t>承办基本要求</w:t>
      </w:r>
    </w:p>
    <w:p w:rsidR="006B3CCA" w:rsidRPr="00E10E40" w:rsidRDefault="006F2BC9" w:rsidP="009E19BE">
      <w:pPr>
        <w:pStyle w:val="a3"/>
        <w:numPr>
          <w:ilvl w:val="0"/>
          <w:numId w:val="7"/>
        </w:numPr>
        <w:tabs>
          <w:tab w:val="left" w:pos="7938"/>
        </w:tabs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比赛场馆要求</w:t>
      </w:r>
    </w:p>
    <w:p w:rsidR="006B3CCA" w:rsidRPr="00E10E40" w:rsidRDefault="009E19BE" w:rsidP="009E19BE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（一）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场馆内场有效面积可容纳至少8片羽毛球场地及场地周围全部设施。场地须是木制弹性地板上铺经批准的防滑地胶。</w:t>
      </w:r>
    </w:p>
    <w:p w:rsidR="006B3CCA" w:rsidRPr="00E10E40" w:rsidRDefault="009E19BE" w:rsidP="009E19BE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（二）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场馆高度必须大于12米且上空高度内，没有横梁或其他障碍物</w:t>
      </w:r>
    </w:p>
    <w:p w:rsidR="006B3CCA" w:rsidRPr="00E10E40" w:rsidRDefault="009E19BE" w:rsidP="009E19BE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（三）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比赛场地的照度须符合比赛要求，场地照度不低于800勒司且照度均匀；场馆内不得有直射的自然光和反光。</w:t>
      </w:r>
    </w:p>
    <w:p w:rsidR="006B3CCA" w:rsidRPr="00E10E40" w:rsidRDefault="006F2BC9" w:rsidP="009E19BE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场馆要具备遮挡自然光源的功能，并具备可以掌控或排除比赛场地上所有气流的能力。</w:t>
      </w:r>
    </w:p>
    <w:p w:rsidR="006B3CCA" w:rsidRPr="00E10E40" w:rsidRDefault="009E19BE" w:rsidP="009E19BE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（四）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场馆要有足够的功能用房，观众坐席数须达到1000人以上。</w:t>
      </w:r>
    </w:p>
    <w:p w:rsidR="006B3CCA" w:rsidRPr="00E10E40" w:rsidRDefault="006F2BC9" w:rsidP="00631778">
      <w:pPr>
        <w:pStyle w:val="a3"/>
        <w:numPr>
          <w:ilvl w:val="0"/>
          <w:numId w:val="8"/>
        </w:numPr>
        <w:tabs>
          <w:tab w:val="left" w:pos="7938"/>
        </w:tabs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比赛场馆内设有医护人员，救护车辆。</w:t>
      </w:r>
    </w:p>
    <w:p w:rsidR="00631778" w:rsidRPr="00E10E40" w:rsidRDefault="009E19BE" w:rsidP="00631778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（六）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承办方要提供比赛场馆示意图，比赛场馆内外照片，以及其他相关的补充材料。</w:t>
      </w:r>
    </w:p>
    <w:p w:rsidR="006B3CCA" w:rsidRPr="00E10E40" w:rsidRDefault="00631778" w:rsidP="00631778">
      <w:pPr>
        <w:tabs>
          <w:tab w:val="left" w:pos="7938"/>
        </w:tabs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二、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接待宾馆要求</w:t>
      </w:r>
    </w:p>
    <w:p w:rsidR="006B3CCA" w:rsidRPr="00E10E40" w:rsidRDefault="00631778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lastRenderedPageBreak/>
        <w:t>（一）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接待宾馆要求星级为三星或三星以上，2人标准间。为协会工作人员、教练员、运动员、裁判员、赛事管理人员分别提供宾馆住宿。</w:t>
      </w:r>
    </w:p>
    <w:p w:rsidR="006B3CCA" w:rsidRPr="00E10E40" w:rsidRDefault="00631778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（二）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为教练员、运动员、裁判员提供往返宾馆至体育馆的大巴车，至少4辆。为协会工作人员、赛事管理人员提供工作用车。</w:t>
      </w:r>
    </w:p>
    <w:p w:rsidR="006B3CCA" w:rsidRPr="00E10E40" w:rsidRDefault="00631778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（三）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宾馆提供三餐，建议距离体育馆小于或等于5公里，交通要便利。</w:t>
      </w:r>
    </w:p>
    <w:p w:rsidR="006B3CCA" w:rsidRPr="00E10E40" w:rsidRDefault="00631778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（四）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运动员下榻的宾馆或酒店应设立医务室，提供药品、器材等</w:t>
      </w:r>
    </w:p>
    <w:p w:rsidR="006B3CCA" w:rsidRPr="00E10E40" w:rsidRDefault="00631778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（五）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承办方同时要有3个以上的备选宾馆。在上报申请材料中要详细注明宾馆的地址、房间总数、距离场馆的距离以及宾馆星级</w:t>
      </w:r>
    </w:p>
    <w:p w:rsidR="006B3CCA" w:rsidRPr="00E10E40" w:rsidRDefault="006F2BC9" w:rsidP="006817DB">
      <w:pPr>
        <w:pStyle w:val="a3"/>
        <w:numPr>
          <w:ilvl w:val="0"/>
          <w:numId w:val="9"/>
        </w:numPr>
        <w:tabs>
          <w:tab w:val="left" w:pos="7938"/>
        </w:tabs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场地包装</w:t>
      </w:r>
    </w:p>
    <w:p w:rsidR="006B3CCA" w:rsidRPr="00E10E40" w:rsidRDefault="006817DB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（一）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按照比赛要求制作背景板、场地围挡和广告版，必须制作成哑光效果，不得反射光线。</w:t>
      </w:r>
    </w:p>
    <w:p w:rsidR="006B3CCA" w:rsidRPr="00E10E40" w:rsidRDefault="006817DB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（二）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U15岁-17岁总决赛使用电子计时计分，需提供电子计时计分和成绩统计系统所需要的符合条件的大屏幕、电脑、网线。</w:t>
      </w:r>
    </w:p>
    <w:p w:rsidR="006B3CCA" w:rsidRPr="00E10E40" w:rsidRDefault="001F51C3" w:rsidP="001F51C3">
      <w:pPr>
        <w:tabs>
          <w:tab w:val="left" w:pos="7938"/>
        </w:tabs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四、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赛事宣传</w:t>
      </w:r>
    </w:p>
    <w:p w:rsidR="006B3CCA" w:rsidRPr="00E10E40" w:rsidRDefault="001F51C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（一）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建立赛事宣传工作组，制定赛事宣传方案，按期保质执行宣传方案</w:t>
      </w:r>
    </w:p>
    <w:p w:rsidR="006B3CCA" w:rsidRPr="00E10E40" w:rsidRDefault="001F51C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lastRenderedPageBreak/>
        <w:t>（二）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重视新闻宣传工作，安排地方媒体对赛事进行全面宣传、报道，并为到赛区采访的新闻工作者提供生活和工作上的便利。</w:t>
      </w:r>
    </w:p>
    <w:p w:rsidR="006B3CCA" w:rsidRPr="00E10E40" w:rsidRDefault="001F51C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（三）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负责中国羽协指定媒体工作人员的差旅费、劳务费、食宿交通等</w:t>
      </w:r>
    </w:p>
    <w:p w:rsidR="006B3CCA" w:rsidRPr="00E10E40" w:rsidRDefault="006F2BC9" w:rsidP="001F51C3">
      <w:pPr>
        <w:pStyle w:val="a3"/>
        <w:numPr>
          <w:ilvl w:val="0"/>
          <w:numId w:val="9"/>
        </w:numPr>
        <w:tabs>
          <w:tab w:val="left" w:pos="7938"/>
        </w:tabs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筹办比赛经费来源</w:t>
      </w:r>
    </w:p>
    <w:p w:rsidR="006B3CCA" w:rsidRPr="00E10E40" w:rsidRDefault="000B1C4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（一）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承办方必须提供详细的经费来源及经费预算。</w:t>
      </w:r>
    </w:p>
    <w:p w:rsidR="006B3CCA" w:rsidRPr="00E10E40" w:rsidRDefault="000B1C4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（二）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经费来源可为赞助经费、广告经费及政府拨款等</w:t>
      </w:r>
      <w:r w:rsidR="00467DF4" w:rsidRPr="00E10E40">
        <w:rPr>
          <w:rFonts w:ascii="仿宋_GB2312" w:eastAsia="仿宋_GB2312" w:hAnsi="仿宋" w:hint="eastAsia"/>
          <w:sz w:val="32"/>
          <w:szCs w:val="32"/>
        </w:rPr>
        <w:t>。</w:t>
      </w:r>
    </w:p>
    <w:p w:rsidR="006B3CCA" w:rsidRPr="00E10E40" w:rsidRDefault="000B1C43" w:rsidP="00467DF4">
      <w:pPr>
        <w:tabs>
          <w:tab w:val="left" w:pos="7938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10E40">
        <w:rPr>
          <w:rFonts w:ascii="仿宋_GB2312" w:eastAsia="仿宋_GB2312" w:hAnsi="仿宋" w:hint="eastAsia"/>
          <w:sz w:val="32"/>
          <w:szCs w:val="32"/>
        </w:rPr>
        <w:t>（三）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U系列比赛总决赛办赛经费预算不少于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80万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，U系列比赛分站赛办赛经费预算不少于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50万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；全国羽毛球后备人才基地总决赛办赛经费预算不少于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80万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，全国羽毛球后备人才基地比赛分站赛办赛经费预算不少于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50万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；全国青少年体育俱乐部羽毛球比赛总决赛办赛经费预算不少于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50万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，全国青少年体育俱乐部羽毛球比赛分站赛办赛经费预算不少于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30万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；全国青少年羽毛球训练营、全国少年羽毛球夏令营办赛经费预算不少于</w:t>
      </w:r>
      <w:r w:rsidR="007D378D" w:rsidRPr="00E10E40">
        <w:rPr>
          <w:rFonts w:ascii="仿宋_GB2312" w:eastAsia="仿宋_GB2312" w:hAnsi="仿宋" w:hint="eastAsia"/>
          <w:sz w:val="32"/>
          <w:szCs w:val="32"/>
        </w:rPr>
        <w:t>人民币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50万</w:t>
      </w:r>
      <w:r w:rsidR="007D378D">
        <w:rPr>
          <w:rFonts w:ascii="仿宋_GB2312" w:eastAsia="仿宋_GB2312" w:hAnsi="仿宋" w:hint="eastAsia"/>
          <w:sz w:val="32"/>
          <w:szCs w:val="32"/>
        </w:rPr>
        <w:t>元</w:t>
      </w:r>
      <w:r w:rsidR="006F2BC9" w:rsidRPr="00E10E40">
        <w:rPr>
          <w:rFonts w:ascii="仿宋_GB2312" w:eastAsia="仿宋_GB2312" w:hAnsi="仿宋" w:hint="eastAsia"/>
          <w:sz w:val="32"/>
          <w:szCs w:val="32"/>
        </w:rPr>
        <w:t>。</w:t>
      </w:r>
    </w:p>
    <w:p w:rsidR="006B3CCA" w:rsidRDefault="006F2BC9">
      <w:pPr>
        <w:pStyle w:val="a3"/>
        <w:tabs>
          <w:tab w:val="left" w:pos="7938"/>
        </w:tabs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47" w:rsidRDefault="00201447" w:rsidP="007E401A">
      <w:r>
        <w:separator/>
      </w:r>
    </w:p>
  </w:endnote>
  <w:endnote w:type="continuationSeparator" w:id="0">
    <w:p w:rsidR="00201447" w:rsidRDefault="00201447" w:rsidP="007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47" w:rsidRDefault="00201447" w:rsidP="007E401A">
      <w:r>
        <w:separator/>
      </w:r>
    </w:p>
  </w:footnote>
  <w:footnote w:type="continuationSeparator" w:id="0">
    <w:p w:rsidR="00201447" w:rsidRDefault="00201447" w:rsidP="007E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B7D"/>
    <w:multiLevelType w:val="hybridMultilevel"/>
    <w:tmpl w:val="4B487D32"/>
    <w:lvl w:ilvl="0" w:tplc="B6CA17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B1267"/>
    <w:multiLevelType w:val="multilevel"/>
    <w:tmpl w:val="09AB1267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E2C65DA"/>
    <w:multiLevelType w:val="hybridMultilevel"/>
    <w:tmpl w:val="4C48F4F0"/>
    <w:lvl w:ilvl="0" w:tplc="81CAA9B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BEF52D7"/>
    <w:multiLevelType w:val="multilevel"/>
    <w:tmpl w:val="1BEF52D7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0465F82"/>
    <w:multiLevelType w:val="multilevel"/>
    <w:tmpl w:val="20465F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018B5"/>
    <w:multiLevelType w:val="multilevel"/>
    <w:tmpl w:val="363018B5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DA15DEB"/>
    <w:multiLevelType w:val="hybridMultilevel"/>
    <w:tmpl w:val="6046B0D2"/>
    <w:lvl w:ilvl="0" w:tplc="8AD0E8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041BB2"/>
    <w:multiLevelType w:val="multilevel"/>
    <w:tmpl w:val="69041BB2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88840E6"/>
    <w:multiLevelType w:val="multilevel"/>
    <w:tmpl w:val="788840E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BA"/>
    <w:rsid w:val="000A4255"/>
    <w:rsid w:val="000B1C43"/>
    <w:rsid w:val="001F4C66"/>
    <w:rsid w:val="001F51C3"/>
    <w:rsid w:val="00201447"/>
    <w:rsid w:val="002B6E62"/>
    <w:rsid w:val="00370B88"/>
    <w:rsid w:val="003B1DBA"/>
    <w:rsid w:val="00467DF4"/>
    <w:rsid w:val="0048266B"/>
    <w:rsid w:val="00631778"/>
    <w:rsid w:val="006817DB"/>
    <w:rsid w:val="006B3CCA"/>
    <w:rsid w:val="006C54DC"/>
    <w:rsid w:val="006F2BC9"/>
    <w:rsid w:val="00731F53"/>
    <w:rsid w:val="007D378D"/>
    <w:rsid w:val="007E401A"/>
    <w:rsid w:val="0093471D"/>
    <w:rsid w:val="009A7710"/>
    <w:rsid w:val="009E19BE"/>
    <w:rsid w:val="00AE42B3"/>
    <w:rsid w:val="00B03DB8"/>
    <w:rsid w:val="00C15E03"/>
    <w:rsid w:val="00C548FD"/>
    <w:rsid w:val="00D47294"/>
    <w:rsid w:val="00DF550B"/>
    <w:rsid w:val="00E10E40"/>
    <w:rsid w:val="00E11067"/>
    <w:rsid w:val="06274D15"/>
    <w:rsid w:val="074E2D17"/>
    <w:rsid w:val="08E226C0"/>
    <w:rsid w:val="10F76BD1"/>
    <w:rsid w:val="113705D3"/>
    <w:rsid w:val="134147D6"/>
    <w:rsid w:val="135F0DD3"/>
    <w:rsid w:val="13CB7F4E"/>
    <w:rsid w:val="140C477C"/>
    <w:rsid w:val="15F85B8F"/>
    <w:rsid w:val="16FA0731"/>
    <w:rsid w:val="1E8B225C"/>
    <w:rsid w:val="24F157B1"/>
    <w:rsid w:val="25FC47E9"/>
    <w:rsid w:val="26856205"/>
    <w:rsid w:val="285779BC"/>
    <w:rsid w:val="2882769D"/>
    <w:rsid w:val="2FB92D8C"/>
    <w:rsid w:val="3D401CA4"/>
    <w:rsid w:val="3E1D7CCF"/>
    <w:rsid w:val="3F48263C"/>
    <w:rsid w:val="401F295E"/>
    <w:rsid w:val="407F54FB"/>
    <w:rsid w:val="424476C7"/>
    <w:rsid w:val="45AE45B9"/>
    <w:rsid w:val="4A6445E2"/>
    <w:rsid w:val="4B795A51"/>
    <w:rsid w:val="4B940CC9"/>
    <w:rsid w:val="4CFD5B7B"/>
    <w:rsid w:val="4D1C1642"/>
    <w:rsid w:val="4F6B5599"/>
    <w:rsid w:val="532A3EE1"/>
    <w:rsid w:val="59BC497B"/>
    <w:rsid w:val="61A4335B"/>
    <w:rsid w:val="62EF1674"/>
    <w:rsid w:val="642C1599"/>
    <w:rsid w:val="66585924"/>
    <w:rsid w:val="69EB30B2"/>
    <w:rsid w:val="6FB578DB"/>
    <w:rsid w:val="70E855F7"/>
    <w:rsid w:val="715C1421"/>
    <w:rsid w:val="719F5482"/>
    <w:rsid w:val="735A2063"/>
    <w:rsid w:val="7E514B94"/>
    <w:rsid w:val="7E8246F3"/>
    <w:rsid w:val="7EC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7D770"/>
  <w15:docId w15:val="{1FBB210D-B9C2-4A54-8D5E-E47955E1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401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401A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0E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0E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teng</dc:creator>
  <cp:lastModifiedBy>烁 金</cp:lastModifiedBy>
  <cp:revision>18</cp:revision>
  <cp:lastPrinted>2019-11-13T01:13:00Z</cp:lastPrinted>
  <dcterms:created xsi:type="dcterms:W3CDTF">2019-09-10T08:47:00Z</dcterms:created>
  <dcterms:modified xsi:type="dcterms:W3CDTF">2019-11-13T07:02:00Z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