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36AE" w14:textId="6943C83F" w:rsidR="000270F7" w:rsidRPr="00EE4723" w:rsidRDefault="00EE4723" w:rsidP="00EE4723">
      <w:pPr>
        <w:spacing w:line="360" w:lineRule="auto"/>
        <w:jc w:val="left"/>
        <w:rPr>
          <w:rFonts w:ascii="宋体" w:eastAsia="宋体" w:hAnsi="宋体" w:cs="宋体"/>
          <w:b/>
          <w:bCs/>
          <w:sz w:val="32"/>
          <w:szCs w:val="32"/>
        </w:rPr>
      </w:pPr>
      <w:r w:rsidRPr="004A6DA5"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6</w:t>
      </w:r>
    </w:p>
    <w:p w14:paraId="450574F2" w14:textId="77777777" w:rsidR="000270F7" w:rsidRDefault="000270F7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2"/>
        </w:rPr>
      </w:pPr>
    </w:p>
    <w:p w14:paraId="7D64498B" w14:textId="77777777" w:rsidR="000270F7" w:rsidRDefault="00BB1079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2020年中国羽毛球协会全民健身羽毛球赛事</w:t>
      </w:r>
    </w:p>
    <w:p w14:paraId="0B664D57" w14:textId="77777777" w:rsidR="000270F7" w:rsidRDefault="00BB1079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承办基本要求</w:t>
      </w:r>
    </w:p>
    <w:p w14:paraId="6EB1AF2F" w14:textId="5144528F" w:rsidR="000270F7" w:rsidRPr="00883546" w:rsidRDefault="00BB1079">
      <w:pPr>
        <w:spacing w:line="360" w:lineRule="auto"/>
        <w:rPr>
          <w:rFonts w:ascii="仿宋_GB2312" w:eastAsia="仿宋_GB2312" w:hAnsi="华文仿宋" w:cs="宋体"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sz w:val="32"/>
          <w:szCs w:val="32"/>
        </w:rPr>
        <w:t xml:space="preserve">  </w:t>
      </w:r>
      <w:r w:rsidRPr="00883546">
        <w:rPr>
          <w:rFonts w:ascii="仿宋_GB2312" w:eastAsia="仿宋_GB2312" w:hAnsi="华文仿宋" w:cs="宋体" w:hint="eastAsia"/>
          <w:bCs/>
          <w:sz w:val="32"/>
          <w:szCs w:val="32"/>
        </w:rPr>
        <w:t xml:space="preserve">   一、赛事名称</w:t>
      </w:r>
    </w:p>
    <w:p w14:paraId="319AA133" w14:textId="3FA1EB12" w:rsidR="000270F7" w:rsidRPr="00883546" w:rsidRDefault="00BB1079">
      <w:pPr>
        <w:spacing w:line="360" w:lineRule="auto"/>
        <w:rPr>
          <w:rFonts w:ascii="仿宋_GB2312" w:eastAsia="仿宋_GB2312" w:hAnsi="华文仿宋" w:cs="宋体"/>
          <w:bCs/>
          <w:sz w:val="32"/>
          <w:szCs w:val="32"/>
        </w:rPr>
      </w:pPr>
      <w:r w:rsidRPr="00883546">
        <w:rPr>
          <w:rFonts w:ascii="仿宋_GB2312" w:eastAsia="仿宋_GB2312" w:hAnsi="华文仿宋" w:cs="宋体" w:hint="eastAsia"/>
          <w:bCs/>
          <w:sz w:val="32"/>
          <w:szCs w:val="32"/>
        </w:rPr>
        <w:t xml:space="preserve">    （一）2020年第三十五届全国中老年羽毛球邀请赛（1站）</w:t>
      </w:r>
    </w:p>
    <w:p w14:paraId="1426F693" w14:textId="3EF8B409" w:rsidR="000270F7" w:rsidRPr="00883546" w:rsidRDefault="00BB1079">
      <w:pPr>
        <w:spacing w:line="360" w:lineRule="auto"/>
        <w:rPr>
          <w:rFonts w:ascii="仿宋_GB2312" w:eastAsia="仿宋_GB2312" w:hAnsi="华文仿宋" w:cs="宋体"/>
          <w:bCs/>
          <w:sz w:val="32"/>
          <w:szCs w:val="32"/>
        </w:rPr>
      </w:pPr>
      <w:r w:rsidRPr="00883546">
        <w:rPr>
          <w:rFonts w:ascii="仿宋_GB2312" w:eastAsia="仿宋_GB2312" w:hAnsi="华文仿宋" w:cs="宋体" w:hint="eastAsia"/>
          <w:bCs/>
          <w:sz w:val="32"/>
          <w:szCs w:val="32"/>
        </w:rPr>
        <w:t xml:space="preserve">    （二）2020年全国东西南北中羽毛球大赛大区赛（4站）</w:t>
      </w:r>
    </w:p>
    <w:p w14:paraId="35CE1F19" w14:textId="1B16235F" w:rsidR="000270F7" w:rsidRPr="00883546" w:rsidRDefault="00BB1079">
      <w:pPr>
        <w:spacing w:line="360" w:lineRule="auto"/>
        <w:rPr>
          <w:rFonts w:ascii="仿宋_GB2312" w:eastAsia="仿宋_GB2312" w:hAnsi="华文仿宋" w:cs="宋体"/>
          <w:bCs/>
          <w:sz w:val="32"/>
          <w:szCs w:val="32"/>
        </w:rPr>
      </w:pPr>
      <w:r w:rsidRPr="00883546">
        <w:rPr>
          <w:rFonts w:ascii="仿宋_GB2312" w:eastAsia="仿宋_GB2312" w:hAnsi="华文仿宋" w:cs="宋体" w:hint="eastAsia"/>
          <w:bCs/>
          <w:sz w:val="32"/>
          <w:szCs w:val="32"/>
        </w:rPr>
        <w:t xml:space="preserve">    （三）2020年全国东西南北中羽毛球大赛总决赛（1站）</w:t>
      </w:r>
    </w:p>
    <w:p w14:paraId="3F8BD6AD" w14:textId="58C5AC3D" w:rsidR="000270F7" w:rsidRPr="00883546" w:rsidRDefault="00BB1079">
      <w:pPr>
        <w:spacing w:line="360" w:lineRule="auto"/>
        <w:rPr>
          <w:rFonts w:ascii="仿宋_GB2312" w:eastAsia="仿宋_GB2312" w:hAnsi="华文仿宋" w:cs="宋体"/>
          <w:bCs/>
          <w:sz w:val="32"/>
          <w:szCs w:val="32"/>
        </w:rPr>
      </w:pPr>
      <w:r w:rsidRPr="00883546">
        <w:rPr>
          <w:rFonts w:ascii="仿宋_GB2312" w:eastAsia="仿宋_GB2312" w:hAnsi="华文仿宋" w:cs="宋体" w:hint="eastAsia"/>
          <w:bCs/>
          <w:sz w:val="32"/>
          <w:szCs w:val="32"/>
        </w:rPr>
        <w:t xml:space="preserve">    （四）2020年中国羽毛球协会业余俱乐部联赛大区赛（4站）</w:t>
      </w:r>
    </w:p>
    <w:p w14:paraId="72B78775" w14:textId="27B639EF" w:rsidR="000270F7" w:rsidRPr="00883546" w:rsidRDefault="00BB1079">
      <w:pPr>
        <w:spacing w:line="360" w:lineRule="auto"/>
        <w:rPr>
          <w:rFonts w:ascii="仿宋_GB2312" w:eastAsia="仿宋_GB2312" w:hAnsi="华文仿宋" w:cs="宋体"/>
          <w:bCs/>
          <w:sz w:val="32"/>
          <w:szCs w:val="32"/>
        </w:rPr>
      </w:pPr>
      <w:r w:rsidRPr="00883546">
        <w:rPr>
          <w:rFonts w:ascii="仿宋_GB2312" w:eastAsia="仿宋_GB2312" w:hAnsi="华文仿宋" w:cs="宋体" w:hint="eastAsia"/>
          <w:bCs/>
          <w:sz w:val="32"/>
          <w:szCs w:val="32"/>
        </w:rPr>
        <w:t xml:space="preserve">    （五）2020年中国羽毛球协会业余俱乐部联赛总决赛（1站）</w:t>
      </w:r>
    </w:p>
    <w:p w14:paraId="05D480D4" w14:textId="57ECFA24" w:rsidR="000270F7" w:rsidRPr="00883546" w:rsidRDefault="00BB1079">
      <w:pPr>
        <w:spacing w:line="360" w:lineRule="auto"/>
        <w:rPr>
          <w:rFonts w:ascii="仿宋_GB2312" w:eastAsia="仿宋_GB2312" w:hAnsi="华文仿宋" w:cs="宋体"/>
          <w:bCs/>
          <w:sz w:val="32"/>
          <w:szCs w:val="32"/>
        </w:rPr>
      </w:pPr>
      <w:r w:rsidRPr="00883546">
        <w:rPr>
          <w:rFonts w:ascii="仿宋_GB2312" w:eastAsia="仿宋_GB2312" w:hAnsi="华文仿宋" w:cs="宋体" w:hint="eastAsia"/>
          <w:bCs/>
          <w:sz w:val="32"/>
          <w:szCs w:val="32"/>
        </w:rPr>
        <w:t xml:space="preserve">    （六）2020年全国东西南北中羽毛球大赛青少年赛分站赛（10站）</w:t>
      </w:r>
    </w:p>
    <w:p w14:paraId="445EF917" w14:textId="0777E9DF" w:rsidR="000270F7" w:rsidRPr="00883546" w:rsidRDefault="00BB1079">
      <w:pPr>
        <w:spacing w:line="360" w:lineRule="auto"/>
        <w:rPr>
          <w:rFonts w:ascii="仿宋_GB2312" w:eastAsia="仿宋_GB2312" w:hAnsi="华文仿宋" w:cs="宋体"/>
          <w:bCs/>
          <w:sz w:val="32"/>
          <w:szCs w:val="32"/>
        </w:rPr>
      </w:pPr>
      <w:r w:rsidRPr="00883546">
        <w:rPr>
          <w:rFonts w:ascii="仿宋_GB2312" w:eastAsia="仿宋_GB2312" w:hAnsi="华文仿宋" w:cs="宋体" w:hint="eastAsia"/>
          <w:bCs/>
          <w:sz w:val="32"/>
          <w:szCs w:val="32"/>
        </w:rPr>
        <w:t xml:space="preserve">    （七）2020年全国东西南北中羽毛球大赛青少年赛总决赛（1站）</w:t>
      </w:r>
    </w:p>
    <w:p w14:paraId="0A86CA6A" w14:textId="1EF1ED06" w:rsidR="000270F7" w:rsidRPr="00883546" w:rsidRDefault="00BB1079">
      <w:pPr>
        <w:spacing w:line="360" w:lineRule="auto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 xml:space="preserve">     二、比赛场馆要求</w:t>
      </w:r>
    </w:p>
    <w:p w14:paraId="700FFCED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（一）场馆内场有效面积可容纳足够片数（中老年赛不少于20片，东西南北中大区赛不少于12片，业余俱乐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lastRenderedPageBreak/>
        <w:t>部大区赛不少于10片，东西南北中青少年赛不少于12片）的羽毛球场地及场地周围全部设施。场地须是木制弹性地板上铺羽毛球地胶。比赛</w:t>
      </w:r>
      <w:proofErr w:type="gramStart"/>
      <w:r w:rsidRPr="00883546">
        <w:rPr>
          <w:rFonts w:ascii="仿宋_GB2312" w:eastAsia="仿宋_GB2312" w:hAnsi="华文仿宋" w:cs="仿宋" w:hint="eastAsia"/>
          <w:sz w:val="32"/>
          <w:szCs w:val="32"/>
        </w:rPr>
        <w:t>场馆须</w:t>
      </w:r>
      <w:proofErr w:type="gramEnd"/>
      <w:r w:rsidRPr="00883546">
        <w:rPr>
          <w:rFonts w:ascii="仿宋_GB2312" w:eastAsia="仿宋_GB2312" w:hAnsi="华文仿宋" w:cs="仿宋" w:hint="eastAsia"/>
          <w:sz w:val="32"/>
          <w:szCs w:val="32"/>
        </w:rPr>
        <w:t>有空调或暖气，保证比赛期间场馆内温度在18-26摄氏度之间。</w:t>
      </w:r>
    </w:p>
    <w:p w14:paraId="306707AF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（二）场馆高度须不低于12米且上空高度内没有横梁或其他障碍物。总决赛</w:t>
      </w:r>
      <w:r w:rsidR="006C48AF" w:rsidRPr="00883546">
        <w:rPr>
          <w:rFonts w:ascii="仿宋_GB2312" w:eastAsia="仿宋_GB2312" w:hAnsi="华文仿宋" w:cs="仿宋" w:hint="eastAsia"/>
          <w:sz w:val="32"/>
          <w:szCs w:val="32"/>
        </w:rPr>
        <w:t>须有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可于中心场地上方架设符合羽毛球赛事要求的演出灯光。</w:t>
      </w:r>
    </w:p>
    <w:p w14:paraId="7B9E9A83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（三）比赛场地的照度须符合比赛要求，场地照度不低于800勒</w:t>
      </w:r>
      <w:proofErr w:type="gramStart"/>
      <w:r w:rsidRPr="00883546">
        <w:rPr>
          <w:rFonts w:ascii="仿宋_GB2312" w:eastAsia="仿宋_GB2312" w:hAnsi="华文仿宋" w:cs="仿宋" w:hint="eastAsia"/>
          <w:sz w:val="32"/>
          <w:szCs w:val="32"/>
        </w:rPr>
        <w:t>克司且照度</w:t>
      </w:r>
      <w:proofErr w:type="gramEnd"/>
      <w:r w:rsidRPr="00883546">
        <w:rPr>
          <w:rFonts w:ascii="仿宋_GB2312" w:eastAsia="仿宋_GB2312" w:hAnsi="华文仿宋" w:cs="仿宋" w:hint="eastAsia"/>
          <w:sz w:val="32"/>
          <w:szCs w:val="32"/>
        </w:rPr>
        <w:t>均匀；场馆内不得有直射的自然光和反光。</w:t>
      </w:r>
    </w:p>
    <w:p w14:paraId="0E9AA0E8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（四）场馆要具备遮挡自然光源的功能，并具备可以管控或排除比赛场地上所有气流的能力。</w:t>
      </w:r>
    </w:p>
    <w:p w14:paraId="5D1BADEF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（五）场馆有足够的功能用房以及固定观众坐席数达到1000人以上。</w:t>
      </w:r>
    </w:p>
    <w:p w14:paraId="09EC98DF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（六）提供热身场地及场地周围全部设施。</w:t>
      </w:r>
    </w:p>
    <w:p w14:paraId="54B15DD4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（七）比赛场馆内设有医护人员，救护车辆。</w:t>
      </w:r>
    </w:p>
    <w:p w14:paraId="33697E69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（八）举办过两次或两次以上重要的羽毛球群体赛事。</w:t>
      </w:r>
    </w:p>
    <w:p w14:paraId="7123474D" w14:textId="77777777" w:rsidR="000270F7" w:rsidRPr="00883546" w:rsidRDefault="00BB1079" w:rsidP="006C48AF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（九）承办方要提供比赛场馆示意图，比赛场馆内外照片，以及其他相关的补充材料。</w:t>
      </w:r>
    </w:p>
    <w:p w14:paraId="717347E9" w14:textId="508959C1" w:rsidR="000270F7" w:rsidRPr="00883546" w:rsidRDefault="00BB1079">
      <w:pPr>
        <w:spacing w:line="360" w:lineRule="auto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 xml:space="preserve">     </w:t>
      </w:r>
      <w:r w:rsidR="006C48AF" w:rsidRPr="00883546">
        <w:rPr>
          <w:rFonts w:ascii="仿宋_GB2312" w:eastAsia="仿宋_GB2312" w:hAnsi="华文仿宋" w:cs="仿宋" w:hint="eastAsia"/>
          <w:sz w:val="32"/>
          <w:szCs w:val="32"/>
        </w:rPr>
        <w:t>三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、接待宾馆要求</w:t>
      </w:r>
    </w:p>
    <w:p w14:paraId="6E9AA80F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（一）接待宾馆要求星级为三星或三星以上。为教练员、运动员、协会工作人员、裁判员、赛事管理人员分别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lastRenderedPageBreak/>
        <w:t>提供宾馆住宿。</w:t>
      </w:r>
    </w:p>
    <w:p w14:paraId="3E2E2F60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（二）提供赛事工作用车。</w:t>
      </w:r>
    </w:p>
    <w:p w14:paraId="0CDC4D52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（三）宾馆提供三餐，距离体育馆小于3公里，交通要便利。</w:t>
      </w:r>
    </w:p>
    <w:p w14:paraId="7A8EF54A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（四）运动员下榻的宾馆或酒店应设立医务室，提供药品、器材等。</w:t>
      </w:r>
    </w:p>
    <w:p w14:paraId="5965020E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（五）承办方同时要有3个以上的备选酒店。在上报申请材料中要详细注明宾馆的地址、房间总数、距离场馆的距离、以及酒店星级。</w:t>
      </w:r>
    </w:p>
    <w:p w14:paraId="130CBBC4" w14:textId="0072C92B" w:rsidR="000270F7" w:rsidRPr="00883546" w:rsidRDefault="00BB1079">
      <w:pPr>
        <w:spacing w:line="360" w:lineRule="auto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 xml:space="preserve">     </w:t>
      </w:r>
      <w:r w:rsidR="006C48AF" w:rsidRPr="00883546">
        <w:rPr>
          <w:rFonts w:ascii="仿宋_GB2312" w:eastAsia="仿宋_GB2312" w:hAnsi="华文仿宋" w:cs="仿宋" w:hint="eastAsia"/>
          <w:sz w:val="32"/>
          <w:szCs w:val="32"/>
        </w:rPr>
        <w:t>四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、场地包装</w:t>
      </w:r>
    </w:p>
    <w:p w14:paraId="6A8BF829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一）在比赛场地内应铺设塑胶场地；按照比赛要求制作比赛背景板、场地围挡和广告板，须制作成哑光效果，不得反射光线；提供可用于电子计时、计分和成绩统计系统所需要的符合条件的大屏幕、电脑、提供网线、网络等硬件设施。</w:t>
      </w:r>
    </w:p>
    <w:p w14:paraId="16BC324F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（二）在比赛馆内应设有混合采访区，作为刚结束比赛的运动员、教练员接受专访的区域。混合采访区要配备符合采访需要的灯光、背景板等设施；设立签名墙，供参赛选手签字、合影专用。</w:t>
      </w:r>
    </w:p>
    <w:p w14:paraId="4CE2CC60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（三）提供公开抽签需要的会场、投影仪、幕布、台式电脑及抽签相应备品。</w:t>
      </w:r>
    </w:p>
    <w:p w14:paraId="33C76A40" w14:textId="34F9AE25" w:rsidR="000270F7" w:rsidRPr="00883546" w:rsidRDefault="00BB1079">
      <w:pPr>
        <w:spacing w:line="360" w:lineRule="auto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 xml:space="preserve">     </w:t>
      </w:r>
      <w:r w:rsidR="006C48AF" w:rsidRPr="00883546">
        <w:rPr>
          <w:rFonts w:ascii="仿宋_GB2312" w:eastAsia="仿宋_GB2312" w:hAnsi="华文仿宋" w:cs="仿宋" w:hint="eastAsia"/>
          <w:sz w:val="32"/>
          <w:szCs w:val="32"/>
        </w:rPr>
        <w:t>五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、赛事宣传</w:t>
      </w:r>
    </w:p>
    <w:p w14:paraId="0443D7E5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lastRenderedPageBreak/>
        <w:t>（一）建立赛事宣传工作组，制定赛事宣传方案，按期保质执行宣传方案。</w:t>
      </w:r>
    </w:p>
    <w:p w14:paraId="39BE19F9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（二）重视新闻宣传工作，安排地方媒体对赛事进行全面宣传、报到，并为到赛区采访的新闻工作者提供生活和工作上的便利。</w:t>
      </w:r>
    </w:p>
    <w:p w14:paraId="4CF73E9F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（三）负责中国羽协选派的媒体及工作人员的差旅费、劳务费、食宿交通等。</w:t>
      </w:r>
    </w:p>
    <w:p w14:paraId="442A3972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（四）在承办地人流聚集地、体育馆及大会指定酒店附近作相应的宣传布置，营造比赛气氛。</w:t>
      </w:r>
    </w:p>
    <w:p w14:paraId="22EAA288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（五）比赛须有网络直播。</w:t>
      </w:r>
    </w:p>
    <w:p w14:paraId="1E6A0643" w14:textId="0D01F42F" w:rsidR="000270F7" w:rsidRPr="00883546" w:rsidRDefault="00BB1079">
      <w:pPr>
        <w:spacing w:line="360" w:lineRule="auto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 xml:space="preserve">     </w:t>
      </w:r>
      <w:r w:rsidR="006C48AF" w:rsidRPr="00883546">
        <w:rPr>
          <w:rFonts w:ascii="仿宋_GB2312" w:eastAsia="仿宋_GB2312" w:hAnsi="华文仿宋" w:cs="仿宋" w:hint="eastAsia"/>
          <w:sz w:val="32"/>
          <w:szCs w:val="32"/>
        </w:rPr>
        <w:t>六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、赛事商业权益为中国羽协和承办单位共有，具体内容详见比赛协议。</w:t>
      </w:r>
    </w:p>
    <w:p w14:paraId="647EFD6C" w14:textId="45D5C851" w:rsidR="000270F7" w:rsidRPr="00883546" w:rsidRDefault="00BB1079">
      <w:pPr>
        <w:spacing w:line="360" w:lineRule="auto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 xml:space="preserve">     </w:t>
      </w:r>
      <w:r w:rsidR="006C48AF" w:rsidRPr="00883546">
        <w:rPr>
          <w:rFonts w:ascii="仿宋_GB2312" w:eastAsia="仿宋_GB2312" w:hAnsi="华文仿宋" w:cs="仿宋" w:hint="eastAsia"/>
          <w:sz w:val="32"/>
          <w:szCs w:val="32"/>
        </w:rPr>
        <w:t>七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、筹办比赛经费来源</w:t>
      </w:r>
    </w:p>
    <w:p w14:paraId="76CD0434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（一）承办方须提供详细的经费预算及经费来源。</w:t>
      </w:r>
    </w:p>
    <w:p w14:paraId="32273547" w14:textId="7777777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（二）经费来源可为赞助经费、广告费及政府拨款等。</w:t>
      </w:r>
    </w:p>
    <w:p w14:paraId="2533BE56" w14:textId="4EA630E7" w:rsidR="000270F7" w:rsidRPr="00883546" w:rsidRDefault="00BB1079">
      <w:pPr>
        <w:spacing w:line="360" w:lineRule="auto"/>
        <w:ind w:firstLineChars="200" w:firstLine="640"/>
        <w:rPr>
          <w:rFonts w:ascii="仿宋_GB2312" w:eastAsia="仿宋_GB2312" w:hAnsi="华文仿宋" w:cs="仿宋"/>
          <w:sz w:val="32"/>
          <w:szCs w:val="32"/>
        </w:rPr>
      </w:pPr>
      <w:r w:rsidRPr="00883546">
        <w:rPr>
          <w:rFonts w:ascii="仿宋_GB2312" w:eastAsia="仿宋_GB2312" w:hAnsi="华文仿宋" w:cs="仿宋" w:hint="eastAsia"/>
          <w:sz w:val="32"/>
          <w:szCs w:val="32"/>
        </w:rPr>
        <w:t>（三）全国中老年赛办赛经费</w:t>
      </w:r>
      <w:r w:rsidR="006C48AF" w:rsidRPr="00883546">
        <w:rPr>
          <w:rFonts w:ascii="仿宋_GB2312" w:eastAsia="仿宋_GB2312" w:hAnsi="华文仿宋" w:cs="仿宋" w:hint="eastAsia"/>
          <w:sz w:val="32"/>
          <w:szCs w:val="32"/>
        </w:rPr>
        <w:t>预算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不少于</w:t>
      </w:r>
      <w:r w:rsidR="00415FEC" w:rsidRPr="00883546">
        <w:rPr>
          <w:rFonts w:ascii="仿宋_GB2312" w:eastAsia="仿宋_GB2312" w:hAnsi="华文仿宋" w:cs="仿宋" w:hint="eastAsia"/>
          <w:sz w:val="32"/>
          <w:szCs w:val="32"/>
        </w:rPr>
        <w:t>人民币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100万</w:t>
      </w:r>
      <w:r w:rsidR="00415FEC">
        <w:rPr>
          <w:rFonts w:ascii="仿宋_GB2312" w:eastAsia="仿宋_GB2312" w:hAnsi="华文仿宋" w:cs="仿宋" w:hint="eastAsia"/>
          <w:sz w:val="32"/>
          <w:szCs w:val="32"/>
        </w:rPr>
        <w:t>元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；东西南北中、业余俱乐部和东西南北中青少年赛总决赛办赛经费</w:t>
      </w:r>
      <w:r w:rsidR="006C48AF" w:rsidRPr="00883546">
        <w:rPr>
          <w:rFonts w:ascii="仿宋_GB2312" w:eastAsia="仿宋_GB2312" w:hAnsi="华文仿宋" w:cs="仿宋" w:hint="eastAsia"/>
          <w:sz w:val="32"/>
          <w:szCs w:val="32"/>
        </w:rPr>
        <w:t>预算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不少于</w:t>
      </w:r>
      <w:r w:rsidR="00415FEC" w:rsidRPr="00883546">
        <w:rPr>
          <w:rFonts w:ascii="仿宋_GB2312" w:eastAsia="仿宋_GB2312" w:hAnsi="华文仿宋" w:cs="仿宋" w:hint="eastAsia"/>
          <w:sz w:val="32"/>
          <w:szCs w:val="32"/>
        </w:rPr>
        <w:t>人民币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80万</w:t>
      </w:r>
      <w:r w:rsidR="00415FEC">
        <w:rPr>
          <w:rFonts w:ascii="仿宋_GB2312" w:eastAsia="仿宋_GB2312" w:hAnsi="华文仿宋" w:cs="仿宋" w:hint="eastAsia"/>
          <w:sz w:val="32"/>
          <w:szCs w:val="32"/>
        </w:rPr>
        <w:t>元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；东西南北中大区赛、业余俱乐部大区赛和东西南北中青少年赛分站赛办赛经费</w:t>
      </w:r>
      <w:r w:rsidR="006C48AF" w:rsidRPr="00883546">
        <w:rPr>
          <w:rFonts w:ascii="仿宋_GB2312" w:eastAsia="仿宋_GB2312" w:hAnsi="华文仿宋" w:cs="仿宋" w:hint="eastAsia"/>
          <w:sz w:val="32"/>
          <w:szCs w:val="32"/>
        </w:rPr>
        <w:t>预算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不少于</w:t>
      </w:r>
      <w:r w:rsidR="00415FEC" w:rsidRPr="00883546">
        <w:rPr>
          <w:rFonts w:ascii="仿宋_GB2312" w:eastAsia="仿宋_GB2312" w:hAnsi="华文仿宋" w:cs="仿宋" w:hint="eastAsia"/>
          <w:sz w:val="32"/>
          <w:szCs w:val="32"/>
        </w:rPr>
        <w:t>人民币</w:t>
      </w:r>
      <w:r w:rsidRPr="00883546">
        <w:rPr>
          <w:rFonts w:ascii="仿宋_GB2312" w:eastAsia="仿宋_GB2312" w:hAnsi="华文仿宋" w:cs="仿宋" w:hint="eastAsia"/>
          <w:sz w:val="32"/>
          <w:szCs w:val="32"/>
        </w:rPr>
        <w:t>30万</w:t>
      </w:r>
      <w:r w:rsidR="00415FEC">
        <w:rPr>
          <w:rFonts w:ascii="仿宋_GB2312" w:eastAsia="仿宋_GB2312" w:hAnsi="华文仿宋" w:cs="仿宋" w:hint="eastAsia"/>
          <w:sz w:val="32"/>
          <w:szCs w:val="32"/>
        </w:rPr>
        <w:t>元</w:t>
      </w:r>
      <w:bookmarkStart w:id="0" w:name="_GoBack"/>
      <w:bookmarkEnd w:id="0"/>
      <w:r w:rsidRPr="00883546">
        <w:rPr>
          <w:rFonts w:ascii="仿宋_GB2312" w:eastAsia="仿宋_GB2312" w:hAnsi="华文仿宋" w:cs="仿宋" w:hint="eastAsia"/>
          <w:sz w:val="32"/>
          <w:szCs w:val="32"/>
        </w:rPr>
        <w:t>。</w:t>
      </w:r>
    </w:p>
    <w:p w14:paraId="4D199F0A" w14:textId="77777777" w:rsidR="000270F7" w:rsidRDefault="000270F7">
      <w:pPr>
        <w:spacing w:line="360" w:lineRule="auto"/>
        <w:rPr>
          <w:rFonts w:ascii="华文仿宋" w:eastAsia="华文仿宋" w:hAnsi="华文仿宋" w:cs="仿宋"/>
          <w:sz w:val="32"/>
          <w:szCs w:val="32"/>
        </w:rPr>
      </w:pPr>
    </w:p>
    <w:sectPr w:rsidR="000270F7"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8C6C" w14:textId="77777777" w:rsidR="003E0CD1" w:rsidRDefault="003E0CD1">
      <w:r>
        <w:separator/>
      </w:r>
    </w:p>
  </w:endnote>
  <w:endnote w:type="continuationSeparator" w:id="0">
    <w:p w14:paraId="5853DFB6" w14:textId="77777777" w:rsidR="003E0CD1" w:rsidRDefault="003E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84544"/>
    </w:sdtPr>
    <w:sdtEndPr/>
    <w:sdtContent>
      <w:p w14:paraId="1E35BD35" w14:textId="77777777" w:rsidR="00BB1079" w:rsidRDefault="00BB10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8AF" w:rsidRPr="006C48AF">
          <w:rPr>
            <w:noProof/>
            <w:lang w:val="zh-CN"/>
          </w:rPr>
          <w:t>1</w:t>
        </w:r>
        <w:r>
          <w:fldChar w:fldCharType="end"/>
        </w:r>
      </w:p>
    </w:sdtContent>
  </w:sdt>
  <w:p w14:paraId="0EA84B43" w14:textId="77777777" w:rsidR="00BB1079" w:rsidRDefault="00BB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D3DB" w14:textId="77777777" w:rsidR="003E0CD1" w:rsidRDefault="003E0CD1">
      <w:r>
        <w:separator/>
      </w:r>
    </w:p>
  </w:footnote>
  <w:footnote w:type="continuationSeparator" w:id="0">
    <w:p w14:paraId="685AB60E" w14:textId="77777777" w:rsidR="003E0CD1" w:rsidRDefault="003E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AEC"/>
    <w:rsid w:val="000270F7"/>
    <w:rsid w:val="00082B6E"/>
    <w:rsid w:val="000D48A5"/>
    <w:rsid w:val="000D514D"/>
    <w:rsid w:val="0018751C"/>
    <w:rsid w:val="00197CFD"/>
    <w:rsid w:val="001B44A6"/>
    <w:rsid w:val="001E3868"/>
    <w:rsid w:val="001F61F5"/>
    <w:rsid w:val="00204E76"/>
    <w:rsid w:val="00286C4C"/>
    <w:rsid w:val="002B6B1B"/>
    <w:rsid w:val="002B788C"/>
    <w:rsid w:val="0030625C"/>
    <w:rsid w:val="003B5AE3"/>
    <w:rsid w:val="003B5C71"/>
    <w:rsid w:val="003C433B"/>
    <w:rsid w:val="003D41E4"/>
    <w:rsid w:val="003E0CD1"/>
    <w:rsid w:val="00415FEC"/>
    <w:rsid w:val="00422069"/>
    <w:rsid w:val="004405AC"/>
    <w:rsid w:val="004E6121"/>
    <w:rsid w:val="004F16D3"/>
    <w:rsid w:val="00540247"/>
    <w:rsid w:val="00544AC2"/>
    <w:rsid w:val="005930B2"/>
    <w:rsid w:val="005A3596"/>
    <w:rsid w:val="005F792A"/>
    <w:rsid w:val="00641536"/>
    <w:rsid w:val="006C48AF"/>
    <w:rsid w:val="006D3EB0"/>
    <w:rsid w:val="007B599F"/>
    <w:rsid w:val="007C74E6"/>
    <w:rsid w:val="00883546"/>
    <w:rsid w:val="00940468"/>
    <w:rsid w:val="00974F8A"/>
    <w:rsid w:val="009C2D75"/>
    <w:rsid w:val="00A366CD"/>
    <w:rsid w:val="00AF3474"/>
    <w:rsid w:val="00AF751A"/>
    <w:rsid w:val="00B3228C"/>
    <w:rsid w:val="00BB1079"/>
    <w:rsid w:val="00BC50E6"/>
    <w:rsid w:val="00C240C1"/>
    <w:rsid w:val="00C71B10"/>
    <w:rsid w:val="00C76BAD"/>
    <w:rsid w:val="00D41B06"/>
    <w:rsid w:val="00D96154"/>
    <w:rsid w:val="00E135D2"/>
    <w:rsid w:val="00E3194C"/>
    <w:rsid w:val="00E7316E"/>
    <w:rsid w:val="00ED78BE"/>
    <w:rsid w:val="00EE4723"/>
    <w:rsid w:val="00FC7FF6"/>
    <w:rsid w:val="00FD5C52"/>
    <w:rsid w:val="00FF2AEC"/>
    <w:rsid w:val="060C7197"/>
    <w:rsid w:val="07B36C93"/>
    <w:rsid w:val="08CF51E9"/>
    <w:rsid w:val="09E45DE2"/>
    <w:rsid w:val="0AD87F56"/>
    <w:rsid w:val="0C132A3F"/>
    <w:rsid w:val="0E5C2DC7"/>
    <w:rsid w:val="143C349A"/>
    <w:rsid w:val="15361914"/>
    <w:rsid w:val="25ED6294"/>
    <w:rsid w:val="295B29D9"/>
    <w:rsid w:val="3AD53681"/>
    <w:rsid w:val="4789153B"/>
    <w:rsid w:val="4F9D031D"/>
    <w:rsid w:val="507F426F"/>
    <w:rsid w:val="52D136C8"/>
    <w:rsid w:val="539D51B2"/>
    <w:rsid w:val="550E67D6"/>
    <w:rsid w:val="6DD85A0B"/>
    <w:rsid w:val="754D7A9B"/>
    <w:rsid w:val="7BA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63E31"/>
  <w15:docId w15:val="{53C7CC21-6356-440C-9F50-6C8D4DBC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1354</Characters>
  <Application>Microsoft Office Word</Application>
  <DocSecurity>0</DocSecurity>
  <Lines>11</Lines>
  <Paragraphs>3</Paragraphs>
  <ScaleCrop>false</ScaleCrop>
  <Company>微软中国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烁 金</cp:lastModifiedBy>
  <cp:revision>40</cp:revision>
  <cp:lastPrinted>2019-11-13T01:14:00Z</cp:lastPrinted>
  <dcterms:created xsi:type="dcterms:W3CDTF">2017-12-01T01:11:00Z</dcterms:created>
  <dcterms:modified xsi:type="dcterms:W3CDTF">2019-11-13T01:14:00Z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