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8980" w:type="dxa"/>
        <w:tblInd w:w="0" w:type="dxa"/>
        <w:tblLayout w:type="fixed"/>
        <w:tblCellMar>
          <w:top w:w="0" w:type="dxa"/>
          <w:left w:w="108" w:type="dxa"/>
          <w:bottom w:w="0" w:type="dxa"/>
          <w:right w:w="108" w:type="dxa"/>
        </w:tblCellMar>
      </w:tblPr>
      <w:tblGrid>
        <w:gridCol w:w="8980"/>
      </w:tblGrid>
      <w:tr>
        <w:tblPrEx>
          <w:tblLayout w:type="fixed"/>
          <w:tblCellMar>
            <w:top w:w="0" w:type="dxa"/>
            <w:left w:w="108" w:type="dxa"/>
            <w:bottom w:w="0" w:type="dxa"/>
            <w:right w:w="108" w:type="dxa"/>
          </w:tblCellMar>
        </w:tblPrEx>
        <w:trPr>
          <w:trHeight w:val="1666" w:hRule="atLeast"/>
        </w:trPr>
        <w:tc>
          <w:tcPr>
            <w:tcW w:w="8980" w:type="dxa"/>
            <w:vAlign w:val="center"/>
          </w:tcPr>
          <w:p>
            <w:pPr>
              <w:spacing w:line="460" w:lineRule="exact"/>
              <w:ind w:left="-107" w:leftChars="-51" w:right="-105"/>
              <w:jc w:val="center"/>
              <w:rPr>
                <w:rFonts w:hint="eastAsia" w:ascii="方正小标宋简体" w:hAnsi="方正小标宋简体" w:eastAsia="方正小标宋简体" w:cs="方正小标宋简体"/>
                <w:bCs/>
                <w:sz w:val="40"/>
                <w:szCs w:val="40"/>
              </w:rPr>
            </w:pPr>
            <w:bookmarkStart w:id="0" w:name="_mcd_v_2"/>
            <w:r>
              <w:rPr>
                <w:rFonts w:hint="eastAsia" w:ascii="方正小标宋简体" w:hAnsi="方正小标宋简体" w:eastAsia="方正小标宋简体" w:cs="方正小标宋简体"/>
                <w:bCs/>
                <w:sz w:val="40"/>
                <w:szCs w:val="40"/>
              </w:rPr>
              <w:t>2019年全国英式</w:t>
            </w:r>
            <w:r>
              <w:rPr>
                <w:rFonts w:hint="eastAsia" w:ascii="方正小标宋简体" w:hAnsi="方正小标宋简体" w:eastAsia="方正小标宋简体" w:cs="方正小标宋简体"/>
                <w:bCs/>
                <w:sz w:val="40"/>
                <w:szCs w:val="40"/>
                <w:lang w:val="en-US" w:eastAsia="zh-CN"/>
              </w:rPr>
              <w:t>7</w:t>
            </w:r>
            <w:r>
              <w:rPr>
                <w:rFonts w:hint="eastAsia" w:ascii="方正小标宋简体" w:hAnsi="方正小标宋简体" w:eastAsia="方正小标宋简体" w:cs="方正小标宋简体"/>
                <w:bCs/>
                <w:sz w:val="40"/>
                <w:szCs w:val="40"/>
              </w:rPr>
              <w:t>人制橄榄球</w:t>
            </w:r>
            <w:bookmarkEnd w:id="0"/>
            <w:r>
              <w:rPr>
                <w:rFonts w:hint="eastAsia" w:ascii="方正小标宋简体" w:hAnsi="方正小标宋简体" w:eastAsia="方正小标宋简体" w:cs="方正小标宋简体"/>
                <w:bCs/>
                <w:sz w:val="40"/>
                <w:szCs w:val="40"/>
                <w:lang w:val="en-US" w:eastAsia="zh-CN"/>
              </w:rPr>
              <w:t>系列</w:t>
            </w:r>
            <w:r>
              <w:rPr>
                <w:rFonts w:hint="eastAsia" w:ascii="方正小标宋简体" w:hAnsi="方正小标宋简体" w:eastAsia="方正小标宋简体" w:cs="方正小标宋简体"/>
                <w:bCs/>
                <w:sz w:val="40"/>
                <w:szCs w:val="40"/>
              </w:rPr>
              <w:t>赛</w:t>
            </w:r>
            <w:r>
              <w:rPr>
                <w:rFonts w:hint="eastAsia" w:ascii="方正小标宋简体" w:hAnsi="方正小标宋简体" w:eastAsia="方正小标宋简体" w:cs="方正小标宋简体"/>
                <w:bCs/>
                <w:sz w:val="40"/>
                <w:szCs w:val="40"/>
                <w:lang w:eastAsia="zh-CN"/>
              </w:rPr>
              <w:t>（</w:t>
            </w:r>
            <w:r>
              <w:rPr>
                <w:rFonts w:hint="eastAsia" w:ascii="方正小标宋简体" w:hAnsi="方正小标宋简体" w:eastAsia="方正小标宋简体" w:cs="方正小标宋简体"/>
                <w:bCs/>
                <w:sz w:val="40"/>
                <w:szCs w:val="40"/>
                <w:lang w:val="en-US" w:eastAsia="zh-CN"/>
              </w:rPr>
              <w:t>男子第三站、女子第二站）暨全国英式7人制橄榄球锦标赛</w:t>
            </w:r>
          </w:p>
          <w:p>
            <w:pPr>
              <w:spacing w:line="460" w:lineRule="exact"/>
              <w:ind w:left="-107" w:leftChars="-51" w:right="-105"/>
              <w:jc w:val="center"/>
              <w:rPr>
                <w:rFonts w:hint="eastAsia" w:ascii="Times New Roman" w:hAnsi="Times New Roman" w:eastAsia="方正小标宋简体"/>
                <w:b/>
                <w:sz w:val="32"/>
                <w:lang w:eastAsia="zh-CN"/>
              </w:rPr>
            </w:pPr>
            <w:r>
              <w:rPr>
                <w:rFonts w:hint="eastAsia" w:ascii="方正小标宋简体" w:hAnsi="方正小标宋简体" w:eastAsia="方正小标宋简体" w:cs="方正小标宋简体"/>
                <w:bCs/>
                <w:sz w:val="40"/>
                <w:szCs w:val="40"/>
              </w:rPr>
              <w:t>竞赛规程</w:t>
            </w:r>
            <w:r>
              <w:rPr>
                <w:rFonts w:hint="eastAsia" w:ascii="方正小标宋简体" w:hAnsi="方正小标宋简体" w:eastAsia="方正小标宋简体" w:cs="方正小标宋简体"/>
                <w:bCs/>
                <w:sz w:val="40"/>
                <w:szCs w:val="40"/>
                <w:lang w:eastAsia="zh-CN"/>
              </w:rPr>
              <w:t>（</w:t>
            </w:r>
            <w:r>
              <w:rPr>
                <w:rFonts w:hint="eastAsia" w:ascii="方正小标宋简体" w:hAnsi="方正小标宋简体" w:eastAsia="方正小标宋简体" w:cs="方正小标宋简体"/>
                <w:bCs/>
                <w:sz w:val="40"/>
                <w:szCs w:val="40"/>
                <w:lang w:val="en-US" w:eastAsia="zh-CN"/>
              </w:rPr>
              <w:t>第一版</w:t>
            </w:r>
            <w:r>
              <w:rPr>
                <w:rFonts w:hint="eastAsia" w:ascii="方正小标宋简体" w:hAnsi="方正小标宋简体" w:eastAsia="方正小标宋简体" w:cs="方正小标宋简体"/>
                <w:bCs/>
                <w:sz w:val="40"/>
                <w:szCs w:val="40"/>
                <w:lang w:eastAsia="zh-CN"/>
              </w:rPr>
              <w:t>）</w:t>
            </w:r>
          </w:p>
        </w:tc>
      </w:tr>
      <w:tr>
        <w:tblPrEx>
          <w:tblLayout w:type="fixed"/>
          <w:tblCellMar>
            <w:top w:w="0" w:type="dxa"/>
            <w:left w:w="108" w:type="dxa"/>
            <w:bottom w:w="0" w:type="dxa"/>
            <w:right w:w="108" w:type="dxa"/>
          </w:tblCellMar>
        </w:tblPrEx>
        <w:trPr>
          <w:trHeight w:val="12047" w:hRule="atLeast"/>
        </w:trPr>
        <w:tc>
          <w:tcPr>
            <w:tcW w:w="8980" w:type="dxa"/>
          </w:tcPr>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一、主办单位</w:t>
            </w:r>
          </w:p>
          <w:p>
            <w:pPr>
              <w:spacing w:line="48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中国橄榄球协会</w:t>
            </w:r>
          </w:p>
          <w:p>
            <w:pPr>
              <w:tabs>
                <w:tab w:val="left" w:pos="600"/>
              </w:tabs>
              <w:spacing w:line="480" w:lineRule="exact"/>
              <w:ind w:firstLine="643" w:firstLineChars="200"/>
              <w:rPr>
                <w:rFonts w:ascii="Times New Roman" w:hAnsi="Times New Roman" w:eastAsia="仿宋"/>
                <w:b/>
                <w:color w:val="auto"/>
                <w:kern w:val="0"/>
                <w:sz w:val="32"/>
                <w:szCs w:val="32"/>
              </w:rPr>
            </w:pPr>
            <w:r>
              <w:rPr>
                <w:rFonts w:hint="eastAsia" w:ascii="Times New Roman" w:hAnsi="Times New Roman" w:eastAsia="仿宋"/>
                <w:b/>
                <w:kern w:val="0"/>
                <w:sz w:val="32"/>
                <w:szCs w:val="32"/>
              </w:rPr>
              <w:t>二、</w:t>
            </w:r>
            <w:r>
              <w:rPr>
                <w:rFonts w:hint="eastAsia" w:ascii="Times New Roman" w:hAnsi="Times New Roman" w:eastAsia="仿宋"/>
                <w:b/>
                <w:color w:val="auto"/>
                <w:kern w:val="0"/>
                <w:sz w:val="32"/>
                <w:szCs w:val="32"/>
              </w:rPr>
              <w:t>承办单位</w:t>
            </w:r>
          </w:p>
          <w:p>
            <w:pPr>
              <w:tabs>
                <w:tab w:val="left" w:pos="600"/>
              </w:tabs>
              <w:spacing w:line="480" w:lineRule="exact"/>
              <w:ind w:firstLine="640" w:firstLineChars="200"/>
              <w:rPr>
                <w:rFonts w:hint="default" w:ascii="Times New Roman" w:hAnsi="Times New Roman" w:eastAsia="仿宋"/>
                <w:b w:val="0"/>
                <w:bCs/>
                <w:color w:val="auto"/>
                <w:kern w:val="0"/>
                <w:sz w:val="32"/>
                <w:szCs w:val="32"/>
                <w:lang w:val="en-US" w:eastAsia="zh-CN"/>
              </w:rPr>
            </w:pPr>
            <w:r>
              <w:rPr>
                <w:rFonts w:hint="eastAsia" w:ascii="Times New Roman" w:hAnsi="Times New Roman" w:eastAsia="仿宋"/>
                <w:b w:val="0"/>
                <w:bCs/>
                <w:color w:val="auto"/>
                <w:kern w:val="0"/>
                <w:sz w:val="32"/>
                <w:szCs w:val="32"/>
                <w:lang w:val="en-US" w:eastAsia="zh-CN"/>
              </w:rPr>
              <w:t>待定</w:t>
            </w:r>
          </w:p>
          <w:p>
            <w:pPr>
              <w:tabs>
                <w:tab w:val="left" w:pos="600"/>
              </w:tabs>
              <w:spacing w:line="480" w:lineRule="exact"/>
              <w:ind w:firstLine="643" w:firstLineChars="200"/>
              <w:rPr>
                <w:rFonts w:ascii="Times New Roman" w:hAnsi="Times New Roman" w:eastAsia="仿宋"/>
                <w:b/>
                <w:color w:val="auto"/>
                <w:kern w:val="0"/>
                <w:sz w:val="32"/>
                <w:szCs w:val="32"/>
              </w:rPr>
            </w:pPr>
            <w:r>
              <w:rPr>
                <w:rFonts w:hint="eastAsia" w:ascii="Times New Roman" w:hAnsi="Times New Roman" w:eastAsia="仿宋"/>
                <w:b/>
                <w:color w:val="auto"/>
                <w:kern w:val="0"/>
                <w:sz w:val="32"/>
                <w:szCs w:val="32"/>
              </w:rPr>
              <w:t>三、协办单位</w:t>
            </w:r>
          </w:p>
          <w:p>
            <w:pPr>
              <w:tabs>
                <w:tab w:val="left" w:pos="600"/>
              </w:tabs>
              <w:spacing w:line="480" w:lineRule="exact"/>
              <w:ind w:firstLine="640" w:firstLineChars="200"/>
              <w:rPr>
                <w:rFonts w:hint="default" w:ascii="Times New Roman" w:hAnsi="Times New Roman" w:eastAsia="仿宋"/>
                <w:b w:val="0"/>
                <w:bCs/>
                <w:color w:val="auto"/>
                <w:kern w:val="0"/>
                <w:sz w:val="32"/>
                <w:szCs w:val="32"/>
                <w:lang w:val="en-US" w:eastAsia="zh-CN"/>
              </w:rPr>
            </w:pPr>
            <w:r>
              <w:rPr>
                <w:rFonts w:hint="eastAsia" w:ascii="Times New Roman" w:hAnsi="Times New Roman" w:eastAsia="仿宋"/>
                <w:b w:val="0"/>
                <w:bCs/>
                <w:color w:val="auto"/>
                <w:kern w:val="0"/>
                <w:sz w:val="32"/>
                <w:szCs w:val="32"/>
                <w:lang w:val="en-US" w:eastAsia="zh-CN"/>
              </w:rPr>
              <w:t>待定</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四、竞赛日期</w:t>
            </w:r>
          </w:p>
          <w:p>
            <w:pPr>
              <w:spacing w:line="480" w:lineRule="exact"/>
              <w:ind w:firstLine="640" w:firstLineChars="200"/>
              <w:rPr>
                <w:rFonts w:hint="eastAsia" w:ascii="Times New Roman" w:hAnsi="Times New Roman" w:eastAsia="仿宋"/>
                <w:kern w:val="0"/>
                <w:sz w:val="32"/>
                <w:szCs w:val="32"/>
                <w:lang w:eastAsia="zh-CN"/>
              </w:rPr>
            </w:pPr>
            <w:r>
              <w:rPr>
                <w:rFonts w:hint="eastAsia" w:ascii="Times New Roman" w:hAnsi="Times New Roman" w:eastAsia="仿宋"/>
                <w:kern w:val="0"/>
                <w:sz w:val="32"/>
                <w:szCs w:val="32"/>
                <w:lang w:val="en-US" w:eastAsia="zh-CN"/>
              </w:rPr>
              <w:t>12</w:t>
            </w:r>
            <w:r>
              <w:rPr>
                <w:rFonts w:hint="eastAsia" w:ascii="Times New Roman" w:hAnsi="Times New Roman" w:eastAsia="仿宋"/>
                <w:kern w:val="0"/>
                <w:sz w:val="32"/>
                <w:szCs w:val="32"/>
              </w:rPr>
              <w:t>月</w:t>
            </w:r>
            <w:r>
              <w:rPr>
                <w:rFonts w:hint="eastAsia" w:ascii="Times New Roman" w:hAnsi="Times New Roman" w:eastAsia="仿宋"/>
                <w:kern w:val="0"/>
                <w:sz w:val="32"/>
                <w:szCs w:val="32"/>
                <w:lang w:val="en-US" w:eastAsia="zh-CN"/>
              </w:rPr>
              <w:t>28</w:t>
            </w:r>
            <w:r>
              <w:rPr>
                <w:rFonts w:hint="eastAsia" w:ascii="Times New Roman" w:hAnsi="Times New Roman" w:eastAsia="仿宋"/>
                <w:kern w:val="0"/>
                <w:sz w:val="32"/>
                <w:szCs w:val="32"/>
              </w:rPr>
              <w:t>日</w:t>
            </w:r>
            <w:r>
              <w:rPr>
                <w:rFonts w:hint="eastAsia" w:ascii="Times New Roman" w:hAnsi="Times New Roman" w:eastAsia="仿宋"/>
                <w:kern w:val="0"/>
                <w:sz w:val="32"/>
                <w:szCs w:val="32"/>
                <w:lang w:val="en-US" w:eastAsia="zh-CN"/>
              </w:rPr>
              <w:t>至29</w:t>
            </w:r>
            <w:r>
              <w:rPr>
                <w:rFonts w:hint="eastAsia" w:ascii="Times New Roman" w:hAnsi="Times New Roman" w:eastAsia="仿宋"/>
                <w:kern w:val="0"/>
                <w:sz w:val="32"/>
                <w:szCs w:val="32"/>
              </w:rPr>
              <w:t>日</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五、竞赛项目</w:t>
            </w:r>
          </w:p>
          <w:p>
            <w:pPr>
              <w:spacing w:line="480" w:lineRule="exact"/>
              <w:ind w:firstLine="640" w:firstLineChars="200"/>
              <w:rPr>
                <w:rFonts w:hint="eastAsia" w:ascii="Times New Roman" w:hAnsi="Times New Roman" w:eastAsia="仿宋"/>
                <w:kern w:val="0"/>
                <w:sz w:val="32"/>
                <w:szCs w:val="32"/>
              </w:rPr>
            </w:pPr>
            <w:r>
              <w:rPr>
                <w:rFonts w:hint="eastAsia" w:ascii="Times New Roman" w:hAnsi="Times New Roman" w:eastAsia="仿宋"/>
                <w:kern w:val="0"/>
                <w:sz w:val="32"/>
                <w:szCs w:val="32"/>
              </w:rPr>
              <w:t>男子英式7人制橄榄球</w:t>
            </w:r>
          </w:p>
          <w:p>
            <w:pPr>
              <w:spacing w:line="480" w:lineRule="exact"/>
              <w:ind w:firstLine="640" w:firstLineChars="200"/>
              <w:rPr>
                <w:rFonts w:hint="eastAsia" w:ascii="Times New Roman" w:hAnsi="Times New Roman" w:eastAsia="仿宋"/>
                <w:kern w:val="0"/>
                <w:sz w:val="32"/>
                <w:szCs w:val="32"/>
              </w:rPr>
            </w:pPr>
            <w:r>
              <w:rPr>
                <w:rFonts w:hint="eastAsia" w:ascii="Times New Roman" w:hAnsi="Times New Roman" w:eastAsia="仿宋"/>
                <w:kern w:val="0"/>
                <w:sz w:val="32"/>
                <w:szCs w:val="32"/>
                <w:lang w:val="en-US" w:eastAsia="zh-CN"/>
              </w:rPr>
              <w:t>女子</w:t>
            </w:r>
            <w:r>
              <w:rPr>
                <w:rFonts w:hint="eastAsia" w:ascii="Times New Roman" w:hAnsi="Times New Roman" w:eastAsia="仿宋"/>
                <w:kern w:val="0"/>
                <w:sz w:val="32"/>
                <w:szCs w:val="32"/>
              </w:rPr>
              <w:t>英式7人制橄榄球</w:t>
            </w:r>
          </w:p>
          <w:p>
            <w:pPr>
              <w:tabs>
                <w:tab w:val="left" w:pos="600"/>
              </w:tabs>
              <w:spacing w:line="480" w:lineRule="exact"/>
              <w:ind w:right="-1" w:firstLine="643" w:firstLineChars="200"/>
              <w:rPr>
                <w:rFonts w:ascii="Times New Roman" w:hAnsi="Times New Roman" w:eastAsia="仿宋"/>
                <w:b/>
                <w:color w:val="auto"/>
                <w:kern w:val="0"/>
                <w:sz w:val="32"/>
                <w:szCs w:val="32"/>
              </w:rPr>
            </w:pPr>
            <w:r>
              <w:rPr>
                <w:rFonts w:hint="eastAsia" w:ascii="Times New Roman" w:hAnsi="Times New Roman" w:eastAsia="仿宋"/>
                <w:b/>
                <w:kern w:val="0"/>
                <w:sz w:val="32"/>
                <w:szCs w:val="32"/>
              </w:rPr>
              <w:t>六、</w:t>
            </w:r>
            <w:r>
              <w:rPr>
                <w:rFonts w:hint="eastAsia" w:ascii="Times New Roman" w:hAnsi="Times New Roman" w:eastAsia="仿宋"/>
                <w:b/>
                <w:color w:val="auto"/>
                <w:kern w:val="0"/>
                <w:sz w:val="32"/>
                <w:szCs w:val="32"/>
              </w:rPr>
              <w:t>竞赛地点</w:t>
            </w:r>
          </w:p>
          <w:p>
            <w:pPr>
              <w:tabs>
                <w:tab w:val="left" w:pos="600"/>
              </w:tabs>
              <w:spacing w:line="480" w:lineRule="exact"/>
              <w:ind w:firstLine="640" w:firstLineChars="200"/>
              <w:rPr>
                <w:rFonts w:hint="default" w:ascii="Times New Roman" w:hAnsi="Times New Roman" w:eastAsia="仿宋"/>
                <w:color w:val="auto"/>
                <w:kern w:val="0"/>
                <w:sz w:val="32"/>
                <w:szCs w:val="32"/>
                <w:lang w:val="en-US" w:eastAsia="zh-CN"/>
              </w:rPr>
            </w:pPr>
            <w:r>
              <w:rPr>
                <w:rFonts w:hint="eastAsia" w:ascii="Times New Roman" w:hAnsi="Times New Roman" w:eastAsia="仿宋"/>
                <w:color w:val="auto"/>
                <w:kern w:val="0"/>
                <w:sz w:val="32"/>
                <w:szCs w:val="32"/>
                <w:lang w:val="en-US" w:eastAsia="zh-CN"/>
              </w:rPr>
              <w:t>待定</w:t>
            </w:r>
          </w:p>
          <w:p>
            <w:pPr>
              <w:numPr>
                <w:ilvl w:val="0"/>
                <w:numId w:val="1"/>
              </w:numPr>
              <w:tabs>
                <w:tab w:val="left" w:pos="600"/>
              </w:tabs>
              <w:spacing w:line="480" w:lineRule="exact"/>
              <w:ind w:right="-1" w:firstLine="643" w:firstLineChars="200"/>
              <w:rPr>
                <w:rFonts w:hint="eastAsia" w:ascii="Times New Roman" w:hAnsi="Times New Roman" w:eastAsia="仿宋"/>
                <w:b/>
                <w:kern w:val="0"/>
                <w:sz w:val="32"/>
                <w:szCs w:val="32"/>
                <w:lang w:val="en-US" w:eastAsia="zh-CN"/>
              </w:rPr>
            </w:pPr>
            <w:r>
              <w:rPr>
                <w:rFonts w:hint="eastAsia" w:ascii="Times New Roman" w:hAnsi="Times New Roman" w:eastAsia="仿宋"/>
                <w:b/>
                <w:kern w:val="0"/>
                <w:sz w:val="32"/>
                <w:szCs w:val="32"/>
                <w:lang w:val="en-US" w:eastAsia="zh-CN"/>
              </w:rPr>
              <w:t>积分办法</w:t>
            </w:r>
          </w:p>
          <w:p>
            <w:pPr>
              <w:numPr>
                <w:ilvl w:val="0"/>
                <w:numId w:val="0"/>
              </w:numPr>
              <w:tabs>
                <w:tab w:val="left" w:pos="600"/>
              </w:tabs>
              <w:spacing w:line="480" w:lineRule="exact"/>
              <w:ind w:firstLine="640" w:firstLineChars="200"/>
              <w:rPr>
                <w:rFonts w:hint="default" w:ascii="Times New Roman" w:hAnsi="Times New Roman" w:eastAsia="仿宋"/>
                <w:b w:val="0"/>
                <w:bCs/>
                <w:sz w:val="32"/>
                <w:szCs w:val="32"/>
                <w:lang w:val="en-US" w:eastAsia="zh-CN"/>
              </w:rPr>
            </w:pPr>
            <w:r>
              <w:rPr>
                <w:rFonts w:hint="eastAsia" w:ascii="Times New Roman" w:hAnsi="Times New Roman" w:eastAsia="仿宋"/>
                <w:b w:val="0"/>
                <w:bCs/>
                <w:sz w:val="32"/>
                <w:szCs w:val="32"/>
                <w:lang w:val="en-US" w:eastAsia="zh-CN"/>
              </w:rPr>
              <w:t>（一）</w:t>
            </w:r>
            <w:r>
              <w:rPr>
                <w:rFonts w:hint="default" w:ascii="Times New Roman" w:hAnsi="Times New Roman" w:eastAsia="仿宋"/>
                <w:b w:val="0"/>
                <w:bCs/>
                <w:sz w:val="32"/>
                <w:szCs w:val="32"/>
                <w:lang w:val="en-US" w:eastAsia="zh-CN"/>
              </w:rPr>
              <w:t>积分规则:</w:t>
            </w:r>
            <w:r>
              <w:rPr>
                <w:rFonts w:hint="eastAsia" w:ascii="Times New Roman" w:hAnsi="Times New Roman" w:eastAsia="仿宋"/>
                <w:b w:val="0"/>
                <w:bCs/>
                <w:sz w:val="32"/>
                <w:szCs w:val="32"/>
                <w:lang w:val="en-US" w:eastAsia="zh-CN"/>
              </w:rPr>
              <w:t>系列</w:t>
            </w:r>
            <w:r>
              <w:rPr>
                <w:rFonts w:hint="default" w:ascii="Times New Roman" w:hAnsi="Times New Roman" w:eastAsia="仿宋"/>
                <w:b w:val="0"/>
                <w:bCs/>
                <w:sz w:val="32"/>
                <w:szCs w:val="32"/>
                <w:lang w:val="en-US" w:eastAsia="zh-CN"/>
              </w:rPr>
              <w:t>赛各队按名次排名从第一名至</w:t>
            </w:r>
            <w:r>
              <w:rPr>
                <w:rFonts w:hint="eastAsia" w:ascii="Times New Roman" w:hAnsi="Times New Roman" w:eastAsia="仿宋"/>
                <w:b w:val="0"/>
                <w:bCs/>
                <w:sz w:val="32"/>
                <w:szCs w:val="32"/>
                <w:lang w:val="en-US" w:eastAsia="zh-CN"/>
              </w:rPr>
              <w:t>最后一名</w:t>
            </w:r>
            <w:r>
              <w:rPr>
                <w:rFonts w:hint="default" w:ascii="Times New Roman" w:hAnsi="Times New Roman" w:eastAsia="仿宋"/>
                <w:b w:val="0"/>
                <w:bCs/>
                <w:sz w:val="32"/>
                <w:szCs w:val="32"/>
                <w:lang w:val="en-US" w:eastAsia="zh-CN"/>
              </w:rPr>
              <w:t>获得的积分依次为：12分，1</w:t>
            </w:r>
            <w:r>
              <w:rPr>
                <w:rFonts w:hint="eastAsia" w:ascii="Times New Roman" w:hAnsi="Times New Roman" w:eastAsia="仿宋"/>
                <w:b w:val="0"/>
                <w:bCs/>
                <w:sz w:val="32"/>
                <w:szCs w:val="32"/>
                <w:lang w:val="en-US" w:eastAsia="zh-CN"/>
              </w:rPr>
              <w:t>0</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8</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6</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5</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4</w:t>
            </w:r>
            <w:r>
              <w:rPr>
                <w:rFonts w:hint="default" w:ascii="Times New Roman" w:hAnsi="Times New Roman" w:eastAsia="仿宋"/>
                <w:b w:val="0"/>
                <w:bCs/>
                <w:sz w:val="32"/>
                <w:szCs w:val="32"/>
                <w:lang w:val="en-US" w:eastAsia="zh-CN"/>
              </w:rPr>
              <w:t xml:space="preserve">分， </w:t>
            </w:r>
            <w:r>
              <w:rPr>
                <w:rFonts w:hint="eastAsia" w:ascii="Times New Roman" w:hAnsi="Times New Roman" w:eastAsia="仿宋"/>
                <w:b w:val="0"/>
                <w:bCs/>
                <w:sz w:val="32"/>
                <w:szCs w:val="32"/>
                <w:lang w:val="en-US" w:eastAsia="zh-CN"/>
              </w:rPr>
              <w:t>3</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2</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，1</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0</w:t>
            </w:r>
            <w:r>
              <w:rPr>
                <w:rFonts w:hint="default" w:ascii="Times New Roman" w:hAnsi="Times New Roman" w:eastAsia="仿宋"/>
                <w:b w:val="0"/>
                <w:bCs/>
                <w:sz w:val="32"/>
                <w:szCs w:val="32"/>
                <w:lang w:val="en-US" w:eastAsia="zh-CN"/>
              </w:rPr>
              <w:t>分。</w:t>
            </w:r>
          </w:p>
          <w:p>
            <w:pPr>
              <w:numPr>
                <w:ilvl w:val="0"/>
                <w:numId w:val="0"/>
              </w:numPr>
              <w:tabs>
                <w:tab w:val="left" w:pos="600"/>
              </w:tabs>
              <w:spacing w:line="480" w:lineRule="exact"/>
              <w:ind w:firstLine="640" w:firstLineChars="200"/>
              <w:rPr>
                <w:rFonts w:hint="default" w:ascii="Times New Roman" w:hAnsi="Times New Roman" w:eastAsia="仿宋"/>
                <w:b w:val="0"/>
                <w:bCs/>
                <w:sz w:val="32"/>
                <w:szCs w:val="32"/>
                <w:lang w:val="en-US" w:eastAsia="zh-CN"/>
              </w:rPr>
            </w:pPr>
            <w:r>
              <w:rPr>
                <w:rFonts w:hint="eastAsia" w:ascii="Times New Roman" w:hAnsi="Times New Roman" w:eastAsia="仿宋"/>
                <w:b w:val="0"/>
                <w:bCs/>
                <w:sz w:val="32"/>
                <w:szCs w:val="32"/>
                <w:lang w:val="en-US" w:eastAsia="zh-CN"/>
              </w:rPr>
              <w:t>（二）</w:t>
            </w:r>
            <w:r>
              <w:rPr>
                <w:rFonts w:hint="default" w:ascii="Times New Roman" w:hAnsi="Times New Roman" w:eastAsia="仿宋"/>
                <w:b w:val="0"/>
                <w:bCs/>
                <w:sz w:val="32"/>
                <w:szCs w:val="32"/>
                <w:lang w:val="en-US" w:eastAsia="zh-CN"/>
              </w:rPr>
              <w:t>年度总排名以每队参加各积分赛所获得的积分之和</w:t>
            </w:r>
          </w:p>
          <w:p>
            <w:pPr>
              <w:numPr>
                <w:ilvl w:val="0"/>
                <w:numId w:val="0"/>
              </w:numPr>
              <w:tabs>
                <w:tab w:val="left" w:pos="600"/>
              </w:tabs>
              <w:spacing w:line="480" w:lineRule="exact"/>
              <w:rPr>
                <w:rFonts w:hint="default" w:ascii="Times New Roman" w:hAnsi="Times New Roman" w:eastAsia="仿宋"/>
                <w:b w:val="0"/>
                <w:bCs/>
                <w:sz w:val="32"/>
                <w:szCs w:val="32"/>
                <w:lang w:val="en-US" w:eastAsia="zh-CN"/>
              </w:rPr>
            </w:pPr>
            <w:r>
              <w:rPr>
                <w:rFonts w:hint="default" w:ascii="Times New Roman" w:hAnsi="Times New Roman" w:eastAsia="仿宋"/>
                <w:b w:val="0"/>
                <w:bCs/>
                <w:sz w:val="32"/>
                <w:szCs w:val="32"/>
                <w:lang w:val="en-US" w:eastAsia="zh-CN"/>
              </w:rPr>
              <w:t>决定，如积分相同</w:t>
            </w:r>
            <w:r>
              <w:rPr>
                <w:rFonts w:hint="eastAsia" w:ascii="Times New Roman" w:hAnsi="Times New Roman" w:eastAsia="仿宋"/>
                <w:b w:val="0"/>
                <w:bCs/>
                <w:sz w:val="32"/>
                <w:szCs w:val="32"/>
                <w:lang w:val="en-US" w:eastAsia="zh-CN"/>
              </w:rPr>
              <w:t>，</w:t>
            </w:r>
            <w:r>
              <w:rPr>
                <w:rFonts w:hint="default" w:ascii="Times New Roman" w:hAnsi="Times New Roman" w:eastAsia="仿宋"/>
                <w:b w:val="0"/>
                <w:bCs/>
                <w:sz w:val="32"/>
                <w:szCs w:val="32"/>
                <w:lang w:val="en-US" w:eastAsia="zh-CN"/>
              </w:rPr>
              <w:t>则按相互比赛的胜负情况决定排名</w:t>
            </w:r>
            <w:r>
              <w:rPr>
                <w:rFonts w:hint="eastAsia" w:ascii="Times New Roman" w:hAnsi="Times New Roman" w:eastAsia="仿宋"/>
                <w:b w:val="0"/>
                <w:bCs/>
                <w:sz w:val="32"/>
                <w:szCs w:val="32"/>
                <w:lang w:val="en-US" w:eastAsia="zh-CN"/>
              </w:rPr>
              <w:t>；</w:t>
            </w:r>
            <w:r>
              <w:rPr>
                <w:rFonts w:hint="default" w:ascii="Times New Roman" w:hAnsi="Times New Roman" w:eastAsia="仿宋"/>
                <w:b w:val="0"/>
                <w:bCs/>
                <w:sz w:val="32"/>
                <w:szCs w:val="32"/>
                <w:lang w:val="en-US" w:eastAsia="zh-CN"/>
              </w:rPr>
              <w:t>如仍不能确定排名，则按两队相互间比赛的得失分差，差数正数值大的队排名列前；如仍不能确定排名，则按两队相互间比赛的达阵得失分差，差数正数值大的队排名列前；如仍不能确定排名，则按两队相互比赛的总得分确定排名，如仍不能确定排名，则按两队相互间比赛的达阵次数，达阵次数多的队排名列前</w:t>
            </w:r>
            <w:r>
              <w:rPr>
                <w:rFonts w:hint="eastAsia" w:ascii="Times New Roman" w:hAnsi="Times New Roman" w:eastAsia="仿宋"/>
                <w:b w:val="0"/>
                <w:bCs/>
                <w:sz w:val="32"/>
                <w:szCs w:val="32"/>
                <w:lang w:val="en-US" w:eastAsia="zh-CN"/>
              </w:rPr>
              <w:t>；</w:t>
            </w:r>
            <w:r>
              <w:rPr>
                <w:rFonts w:hint="default" w:ascii="Times New Roman" w:hAnsi="Times New Roman" w:eastAsia="仿宋"/>
                <w:b w:val="0"/>
                <w:bCs/>
                <w:sz w:val="32"/>
                <w:szCs w:val="32"/>
                <w:lang w:val="en-US" w:eastAsia="zh-CN"/>
              </w:rPr>
              <w:t>如仍不能确定排名，则两队采用抛掷硬币的方式决定排名。</w:t>
            </w:r>
          </w:p>
          <w:p>
            <w:pPr>
              <w:numPr>
                <w:ilvl w:val="0"/>
                <w:numId w:val="0"/>
              </w:numPr>
              <w:tabs>
                <w:tab w:val="left" w:pos="600"/>
              </w:tabs>
              <w:spacing w:line="480" w:lineRule="exact"/>
              <w:ind w:right="-1" w:rightChars="0" w:firstLine="640" w:firstLineChars="200"/>
              <w:rPr>
                <w:rFonts w:hint="default" w:ascii="Times New Roman" w:hAnsi="Times New Roman" w:eastAsia="仿宋"/>
                <w:b/>
                <w:kern w:val="0"/>
                <w:sz w:val="32"/>
                <w:szCs w:val="32"/>
                <w:lang w:val="en-US" w:eastAsia="zh-CN"/>
              </w:rPr>
            </w:pPr>
            <w:r>
              <w:rPr>
                <w:rFonts w:hint="eastAsia" w:ascii="Times New Roman" w:hAnsi="Times New Roman" w:eastAsia="仿宋"/>
                <w:b w:val="0"/>
                <w:bCs/>
                <w:sz w:val="32"/>
                <w:szCs w:val="32"/>
                <w:lang w:val="en-US" w:eastAsia="zh-CN"/>
              </w:rPr>
              <w:t>（三）</w:t>
            </w:r>
            <w:r>
              <w:rPr>
                <w:rFonts w:hint="default" w:ascii="Times New Roman" w:hAnsi="Times New Roman" w:eastAsia="仿宋"/>
                <w:b w:val="0"/>
                <w:bCs/>
                <w:sz w:val="32"/>
                <w:szCs w:val="32"/>
                <w:lang w:val="en-US" w:eastAsia="zh-CN"/>
              </w:rPr>
              <w:t>积分办法只适用于201</w:t>
            </w:r>
            <w:r>
              <w:rPr>
                <w:rFonts w:hint="eastAsia" w:ascii="Times New Roman" w:hAnsi="Times New Roman" w:eastAsia="仿宋"/>
                <w:b w:val="0"/>
                <w:bCs/>
                <w:sz w:val="32"/>
                <w:szCs w:val="32"/>
                <w:lang w:val="en-US" w:eastAsia="zh-CN"/>
              </w:rPr>
              <w:t>9</w:t>
            </w:r>
            <w:r>
              <w:rPr>
                <w:rFonts w:hint="default" w:ascii="Times New Roman" w:hAnsi="Times New Roman" w:eastAsia="仿宋"/>
                <w:b w:val="0"/>
                <w:bCs/>
                <w:sz w:val="32"/>
                <w:szCs w:val="32"/>
                <w:lang w:val="en-US" w:eastAsia="zh-CN"/>
              </w:rPr>
              <w:t>年全国</w:t>
            </w:r>
            <w:r>
              <w:rPr>
                <w:rFonts w:hint="eastAsia" w:ascii="Times New Roman" w:hAnsi="Times New Roman" w:eastAsia="仿宋"/>
                <w:b w:val="0"/>
                <w:bCs/>
                <w:sz w:val="32"/>
                <w:szCs w:val="32"/>
                <w:lang w:val="en-US" w:eastAsia="zh-CN"/>
              </w:rPr>
              <w:t>英式</w:t>
            </w:r>
            <w:r>
              <w:rPr>
                <w:rFonts w:hint="default" w:ascii="Times New Roman" w:hAnsi="Times New Roman" w:eastAsia="仿宋"/>
                <w:b w:val="0"/>
                <w:bCs/>
                <w:sz w:val="32"/>
                <w:szCs w:val="32"/>
                <w:lang w:val="en-US" w:eastAsia="zh-CN"/>
              </w:rPr>
              <w:t>7 人制橄榄球系列赛。</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lang w:val="en-US" w:eastAsia="zh-CN"/>
              </w:rPr>
              <w:t>八、</w:t>
            </w:r>
            <w:r>
              <w:rPr>
                <w:rFonts w:hint="eastAsia" w:ascii="Times New Roman" w:hAnsi="Times New Roman" w:eastAsia="仿宋"/>
                <w:b/>
                <w:kern w:val="0"/>
                <w:sz w:val="32"/>
                <w:szCs w:val="32"/>
              </w:rPr>
              <w:t>参赛单位</w:t>
            </w:r>
          </w:p>
          <w:p>
            <w:pPr>
              <w:spacing w:line="480" w:lineRule="exact"/>
              <w:ind w:firstLine="640" w:firstLineChars="200"/>
              <w:rPr>
                <w:rFonts w:ascii="Times New Roman" w:hAnsi="Times New Roman" w:eastAsia="仿宋"/>
                <w:sz w:val="32"/>
                <w:szCs w:val="32"/>
              </w:rPr>
            </w:pPr>
            <w:r>
              <w:rPr>
                <w:rFonts w:hint="eastAsia" w:ascii="Times New Roman" w:hAnsi="Times New Roman" w:eastAsia="仿宋"/>
                <w:kern w:val="0"/>
                <w:sz w:val="32"/>
                <w:szCs w:val="32"/>
              </w:rPr>
              <w:t>在中国橄榄球协会2019年度备案的具备独立法人资格的单位包括但不限于学校、俱乐部等可报名参加。（每个地级市限2个队报名，直辖市、计划单列市及省会城市限3个队报名，须当地橄榄球协会、体育局</w:t>
            </w:r>
            <w:r>
              <w:rPr>
                <w:rFonts w:hint="eastAsia" w:ascii="Times New Roman" w:hAnsi="Times New Roman" w:eastAsia="仿宋"/>
                <w:kern w:val="0"/>
                <w:sz w:val="32"/>
                <w:szCs w:val="32"/>
                <w:lang w:eastAsia="zh-CN"/>
              </w:rPr>
              <w:t>、</w:t>
            </w:r>
            <w:r>
              <w:rPr>
                <w:rFonts w:hint="eastAsia" w:ascii="Times New Roman" w:hAnsi="Times New Roman" w:eastAsia="仿宋"/>
                <w:kern w:val="0"/>
                <w:sz w:val="32"/>
                <w:szCs w:val="32"/>
                <w:lang w:val="en-US" w:eastAsia="zh-CN"/>
              </w:rPr>
              <w:t>体育总会</w:t>
            </w:r>
            <w:r>
              <w:rPr>
                <w:rFonts w:hint="eastAsia" w:ascii="Times New Roman" w:hAnsi="Times New Roman" w:eastAsia="仿宋"/>
                <w:kern w:val="0"/>
                <w:sz w:val="32"/>
                <w:szCs w:val="32"/>
              </w:rPr>
              <w:t>或教育局盖章，港澳台球队不计入最终比赛成绩，后面队伍比赛名次递增）</w:t>
            </w:r>
          </w:p>
          <w:p>
            <w:pPr>
              <w:spacing w:line="480" w:lineRule="exact"/>
              <w:ind w:left="-107" w:leftChars="-51" w:right="-1"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每个单位、学校或俱乐部可同时参加多个组别比赛，但仅限在各组别报名一支参赛队伍，且各参赛组别报名人员不得重复。</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lang w:val="en-US" w:eastAsia="zh-CN"/>
              </w:rPr>
              <w:t>九</w:t>
            </w:r>
            <w:r>
              <w:rPr>
                <w:rFonts w:hint="eastAsia" w:ascii="Times New Roman" w:hAnsi="Times New Roman" w:eastAsia="仿宋"/>
                <w:b/>
                <w:kern w:val="0"/>
                <w:sz w:val="32"/>
                <w:szCs w:val="32"/>
              </w:rPr>
              <w:t>、运动员资格</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参赛运动员必须为在中国橄榄球协会完成2019年度备案的橄榄球运动员；</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中华人民共和国公民或在中国学习和工作的外国公民（须持有有效的学习或者工作签证）；</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经医务部门检查证明身体健康；</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须由参赛单位统一办理人身意外伤害保险（意外身故伤残不低于50万，意外医疗不低于5万，保障责任中还需包括住院津贴、猝死责任及交通意外），各参赛队须携保单原件赴赛区，报到时查验；</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符合中国橄榄球协会有关规定；</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符合竞赛规则有关规定；</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年龄规定：比赛日前须年满16周岁</w:t>
            </w:r>
            <w:r>
              <w:rPr>
                <w:rFonts w:hint="eastAsia" w:ascii="Times New Roman" w:hAnsi="Times New Roman" w:eastAsia="仿宋"/>
                <w:kern w:val="0"/>
                <w:sz w:val="32"/>
                <w:szCs w:val="32"/>
                <w:lang w:eastAsia="zh-CN"/>
              </w:rPr>
              <w:t>；</w:t>
            </w:r>
          </w:p>
          <w:p>
            <w:pPr>
              <w:spacing w:line="480" w:lineRule="exact"/>
              <w:ind w:left="-107" w:leftChars="-51" w:right="-1" w:firstLine="630" w:firstLineChars="197"/>
              <w:rPr>
                <w:rFonts w:ascii="Times New Roman" w:hAnsi="Times New Roman" w:eastAsia="仿宋"/>
                <w:sz w:val="32"/>
                <w:szCs w:val="32"/>
              </w:rPr>
            </w:pPr>
            <w:bookmarkStart w:id="1" w:name="_Hlk516078017"/>
            <w:r>
              <w:rPr>
                <w:rFonts w:hint="eastAsia" w:ascii="Times New Roman" w:hAnsi="Times New Roman" w:eastAsia="仿宋"/>
                <w:sz w:val="32"/>
                <w:szCs w:val="32"/>
              </w:rPr>
              <w:t>注：</w:t>
            </w:r>
            <w:r>
              <w:rPr>
                <w:rFonts w:hint="eastAsia" w:ascii="Times New Roman" w:hAnsi="Times New Roman" w:eastAsia="仿宋"/>
                <w:sz w:val="32"/>
                <w:szCs w:val="32"/>
                <w:lang w:val="en-US" w:eastAsia="zh-CN"/>
              </w:rPr>
              <w:t>未</w:t>
            </w:r>
            <w:r>
              <w:rPr>
                <w:rFonts w:hint="eastAsia" w:ascii="Times New Roman" w:hAnsi="Times New Roman" w:eastAsia="仿宋"/>
                <w:sz w:val="32"/>
                <w:szCs w:val="32"/>
              </w:rPr>
              <w:t>满1</w:t>
            </w:r>
            <w:r>
              <w:rPr>
                <w:rFonts w:ascii="Times New Roman" w:hAnsi="Times New Roman" w:eastAsia="仿宋"/>
                <w:sz w:val="32"/>
                <w:szCs w:val="32"/>
              </w:rPr>
              <w:t>8</w:t>
            </w:r>
            <w:r>
              <w:rPr>
                <w:rFonts w:hint="eastAsia" w:ascii="Times New Roman" w:hAnsi="Times New Roman" w:eastAsia="仿宋"/>
                <w:sz w:val="32"/>
                <w:szCs w:val="32"/>
              </w:rPr>
              <w:t>周岁</w:t>
            </w:r>
            <w:r>
              <w:rPr>
                <w:rFonts w:hint="eastAsia" w:ascii="Times New Roman" w:hAnsi="Times New Roman" w:eastAsia="仿宋"/>
                <w:sz w:val="32"/>
                <w:szCs w:val="32"/>
                <w:lang w:val="en-US" w:eastAsia="zh-CN"/>
              </w:rPr>
              <w:t>运动员</w:t>
            </w:r>
            <w:r>
              <w:rPr>
                <w:rFonts w:hint="eastAsia" w:ascii="Times New Roman" w:hAnsi="Times New Roman" w:eastAsia="仿宋"/>
                <w:sz w:val="32"/>
                <w:szCs w:val="32"/>
              </w:rPr>
              <w:t>须其监护人和所在单位签字盖章同意。</w:t>
            </w:r>
          </w:p>
          <w:bookmarkEnd w:id="1"/>
          <w:p>
            <w:pPr>
              <w:pStyle w:val="12"/>
              <w:numPr>
                <w:ilvl w:val="2"/>
                <w:numId w:val="2"/>
              </w:numPr>
              <w:spacing w:line="480" w:lineRule="exact"/>
              <w:ind w:left="-107" w:leftChars="-51" w:right="-1" w:firstLine="457" w:firstLineChars="143"/>
              <w:rPr>
                <w:rFonts w:ascii="Times New Roman" w:hAnsi="Times New Roman" w:eastAsia="仿宋"/>
                <w:sz w:val="32"/>
                <w:szCs w:val="32"/>
              </w:rPr>
            </w:pPr>
            <w:r>
              <w:rPr>
                <w:rFonts w:hint="eastAsia" w:ascii="Times New Roman" w:hAnsi="Times New Roman" w:eastAsia="仿宋"/>
                <w:kern w:val="0"/>
                <w:sz w:val="32"/>
                <w:szCs w:val="32"/>
              </w:rPr>
              <w:t>特殊规定：</w:t>
            </w:r>
          </w:p>
          <w:p>
            <w:pPr>
              <w:pStyle w:val="12"/>
              <w:spacing w:line="480" w:lineRule="exact"/>
              <w:ind w:firstLine="640"/>
              <w:rPr>
                <w:rFonts w:ascii="Times New Roman" w:hAnsi="Times New Roman" w:eastAsia="仿宋"/>
                <w:sz w:val="32"/>
                <w:szCs w:val="32"/>
              </w:rPr>
            </w:pPr>
            <w:r>
              <w:rPr>
                <w:rFonts w:hint="eastAsia" w:ascii="Times New Roman" w:hAnsi="Times New Roman" w:eastAsia="仿宋"/>
                <w:sz w:val="32"/>
                <w:szCs w:val="32"/>
              </w:rPr>
              <w:t>1.中国橄榄球协会将对运动员注册等参赛资格进行严格审查，在每场比赛召集检录时每位运动员需自带个人身份证或护照（身份证正反面复印件、护照个人信息页复印件及签证复印件）以备检查。凡经查实有违反规定者，除取消运动员参赛资格外，还将依据中国橄榄球协会的相关规定对运动员及相关单位进行处罚；</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2.香港特别行政区、澳门特别行政区、中国台北地区的参赛资格另行规定。</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sz w:val="32"/>
                <w:szCs w:val="32"/>
                <w:lang w:val="en-US" w:eastAsia="zh-CN"/>
              </w:rPr>
              <w:t>十</w:t>
            </w:r>
            <w:r>
              <w:rPr>
                <w:rFonts w:hint="eastAsia" w:ascii="Times New Roman" w:hAnsi="Times New Roman" w:eastAsia="仿宋"/>
                <w:b/>
                <w:sz w:val="32"/>
                <w:szCs w:val="32"/>
              </w:rPr>
              <w:t>、参加办法</w:t>
            </w:r>
          </w:p>
          <w:p>
            <w:pPr>
              <w:pStyle w:val="12"/>
              <w:numPr>
                <w:ilvl w:val="0"/>
                <w:numId w:val="3"/>
              </w:numPr>
              <w:spacing w:line="480" w:lineRule="exact"/>
              <w:ind w:firstLineChars="0"/>
              <w:rPr>
                <w:rFonts w:ascii="Times New Roman" w:hAnsi="Times New Roman" w:eastAsia="仿宋"/>
                <w:sz w:val="32"/>
                <w:szCs w:val="32"/>
              </w:rPr>
            </w:pPr>
            <w:bookmarkStart w:id="2" w:name="_Hlk516079429"/>
            <w:r>
              <w:rPr>
                <w:rFonts w:hint="eastAsia" w:ascii="Times New Roman" w:hAnsi="Times New Roman" w:eastAsia="仿宋"/>
                <w:sz w:val="32"/>
                <w:szCs w:val="32"/>
              </w:rPr>
              <w:t>比赛设专业队及体校组、普通学校组、社会俱乐部组，各报名参赛单位根据2019年度中国橄榄球协会备案信息自动进入相应组别；</w:t>
            </w:r>
          </w:p>
          <w:p>
            <w:pPr>
              <w:pStyle w:val="12"/>
              <w:numPr>
                <w:ilvl w:val="0"/>
                <w:numId w:val="3"/>
              </w:numPr>
              <w:spacing w:line="480" w:lineRule="exact"/>
              <w:ind w:firstLineChars="0"/>
              <w:rPr>
                <w:rFonts w:ascii="Times New Roman" w:hAnsi="Times New Roman" w:eastAsia="仿宋"/>
                <w:sz w:val="32"/>
                <w:szCs w:val="32"/>
              </w:rPr>
            </w:pPr>
            <w:r>
              <w:rPr>
                <w:rFonts w:hint="eastAsia" w:ascii="Times New Roman" w:hAnsi="Times New Roman" w:eastAsia="仿宋"/>
                <w:sz w:val="32"/>
                <w:szCs w:val="32"/>
              </w:rPr>
              <w:t>运动员报名人数：各参赛队伍于</w:t>
            </w:r>
            <w:r>
              <w:rPr>
                <w:rFonts w:hint="eastAsia" w:ascii="Times New Roman" w:hAnsi="Times New Roman" w:eastAsia="仿宋"/>
                <w:sz w:val="32"/>
                <w:szCs w:val="32"/>
                <w:lang w:val="en-US" w:eastAsia="zh-CN"/>
              </w:rPr>
              <w:t>赛</w:t>
            </w:r>
            <w:r>
              <w:rPr>
                <w:rFonts w:hint="eastAsia" w:ascii="Times New Roman" w:hAnsi="Times New Roman" w:eastAsia="仿宋"/>
                <w:sz w:val="32"/>
                <w:szCs w:val="32"/>
              </w:rPr>
              <w:t>前确定参赛的15名运动员，赛前技术会上确认正式比赛的13名运动员，正式比赛的运动员中1人为待定，比赛过程中如有队员受伤须经组委会指定医生认定，可替换上场；</w:t>
            </w:r>
          </w:p>
          <w:p>
            <w:pPr>
              <w:pStyle w:val="12"/>
              <w:numPr>
                <w:ilvl w:val="0"/>
                <w:numId w:val="3"/>
              </w:numPr>
              <w:spacing w:line="480" w:lineRule="exact"/>
              <w:ind w:firstLineChars="0"/>
              <w:rPr>
                <w:rFonts w:ascii="Times New Roman" w:hAnsi="Times New Roman" w:eastAsia="仿宋"/>
                <w:sz w:val="32"/>
                <w:szCs w:val="32"/>
              </w:rPr>
            </w:pPr>
            <w:r>
              <w:rPr>
                <w:rFonts w:hint="eastAsia" w:ascii="Times New Roman" w:hAnsi="Times New Roman" w:eastAsia="仿宋"/>
                <w:sz w:val="32"/>
                <w:szCs w:val="32"/>
              </w:rPr>
              <w:t>官员报名人数：每队可报领队1人，教练员3人，队医1人，理疗师1人，随队裁判1人。同一名官员只能代表一个单位报名；</w:t>
            </w:r>
          </w:p>
          <w:p>
            <w:pPr>
              <w:pStyle w:val="12"/>
              <w:spacing w:line="480" w:lineRule="exact"/>
              <w:ind w:left="-107" w:leftChars="-51" w:right="-1" w:firstLine="771" w:firstLineChars="241"/>
              <w:rPr>
                <w:rFonts w:ascii="Times New Roman" w:hAnsi="Times New Roman" w:eastAsia="仿宋"/>
                <w:sz w:val="32"/>
                <w:szCs w:val="32"/>
              </w:rPr>
            </w:pPr>
            <w:r>
              <w:rPr>
                <w:rFonts w:hint="eastAsia" w:ascii="Times New Roman" w:hAnsi="Times New Roman" w:eastAsia="仿宋"/>
                <w:sz w:val="32"/>
                <w:szCs w:val="32"/>
              </w:rPr>
              <w:t>各参赛队伍须报1名随队裁判员和1名队医。随队裁判员须通过中国橄榄球协会培训（一级或国家级），队医或理疗师须为经过中国橄榄球协会培训考试合格者。随队裁判员及队医或者理疗师相关费用由参赛单位承担。随队裁判员的管理权归中国橄榄球协会及赛事组委会。</w:t>
            </w:r>
          </w:p>
          <w:bookmarkEnd w:id="2"/>
          <w:p>
            <w:pPr>
              <w:pStyle w:val="12"/>
              <w:spacing w:line="480" w:lineRule="exact"/>
              <w:ind w:right="-1" w:firstLine="640"/>
              <w:rPr>
                <w:rFonts w:ascii="Times New Roman" w:hAnsi="Times New Roman" w:eastAsia="仿宋"/>
                <w:b/>
                <w:sz w:val="32"/>
                <w:szCs w:val="32"/>
              </w:rPr>
            </w:pPr>
            <w:r>
              <w:rPr>
                <w:rFonts w:hint="eastAsia" w:ascii="Times New Roman" w:hAnsi="Times New Roman" w:eastAsia="仿宋"/>
                <w:sz w:val="32"/>
                <w:szCs w:val="32"/>
              </w:rPr>
              <w:t>未报随队裁判员、队医或理疗师的队伍不得参加比赛；不能派出随队裁判员、队医的报名队伍须由中国橄榄球协会指派后方可参赛，相关费用由报名单位承担。</w:t>
            </w:r>
          </w:p>
          <w:p>
            <w:pPr>
              <w:pStyle w:val="12"/>
              <w:spacing w:line="480" w:lineRule="exact"/>
              <w:ind w:right="-1" w:firstLine="640"/>
              <w:rPr>
                <w:rFonts w:ascii="Times New Roman" w:hAnsi="Times New Roman" w:eastAsia="仿宋"/>
                <w:b/>
                <w:sz w:val="32"/>
                <w:szCs w:val="32"/>
              </w:rPr>
            </w:pPr>
            <w:r>
              <w:rPr>
                <w:rFonts w:hint="eastAsia" w:ascii="Times New Roman" w:hAnsi="Times New Roman" w:eastAsia="仿宋"/>
                <w:sz w:val="32"/>
                <w:szCs w:val="32"/>
              </w:rPr>
              <w:t>香港特别行政区、澳门特别行政区、中国台北地区的运动员和随队裁判员资格另行规定。</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一</w:t>
            </w:r>
            <w:r>
              <w:rPr>
                <w:rFonts w:hint="eastAsia" w:ascii="Times New Roman" w:hAnsi="Times New Roman" w:eastAsia="仿宋"/>
                <w:b/>
                <w:kern w:val="0"/>
                <w:sz w:val="32"/>
                <w:szCs w:val="32"/>
              </w:rPr>
              <w:t>、竞赛办法</w:t>
            </w:r>
          </w:p>
          <w:p>
            <w:pPr>
              <w:pStyle w:val="12"/>
              <w:numPr>
                <w:ilvl w:val="0"/>
                <w:numId w:val="4"/>
              </w:numPr>
              <w:spacing w:line="480" w:lineRule="exact"/>
              <w:ind w:left="-107" w:leftChars="-51" w:right="-1" w:firstLine="572" w:firstLineChars="0"/>
              <w:rPr>
                <w:rFonts w:ascii="Times New Roman" w:hAnsi="Times New Roman" w:eastAsia="仿宋"/>
                <w:bCs/>
                <w:kern w:val="0"/>
                <w:sz w:val="32"/>
                <w:szCs w:val="32"/>
              </w:rPr>
            </w:pPr>
            <w:r>
              <w:rPr>
                <w:rFonts w:hint="eastAsia" w:ascii="Times New Roman" w:hAnsi="Times New Roman" w:eastAsia="仿宋"/>
                <w:bCs/>
                <w:kern w:val="0"/>
                <w:sz w:val="32"/>
                <w:szCs w:val="32"/>
              </w:rPr>
              <w:t>分组及比赛办法</w:t>
            </w:r>
          </w:p>
          <w:p>
            <w:pPr>
              <w:numPr>
                <w:ilvl w:val="0"/>
                <w:numId w:val="5"/>
              </w:numPr>
              <w:spacing w:line="480" w:lineRule="exact"/>
              <w:ind w:left="-107" w:leftChars="-51" w:right="-1"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分组原则：</w:t>
            </w:r>
          </w:p>
          <w:p>
            <w:pPr>
              <w:spacing w:line="480" w:lineRule="exact"/>
              <w:ind w:right="-1" w:firstLine="640" w:firstLineChars="200"/>
              <w:rPr>
                <w:rFonts w:ascii="Times New Roman" w:hAnsi="Times New Roman" w:eastAsia="仿宋"/>
                <w:color w:val="2F5597" w:themeColor="accent1" w:themeShade="BF"/>
                <w:kern w:val="0"/>
                <w:sz w:val="32"/>
                <w:szCs w:val="32"/>
              </w:rPr>
            </w:pPr>
            <w:r>
              <w:rPr>
                <w:rFonts w:hint="eastAsia" w:ascii="Times New Roman" w:hAnsi="Times New Roman" w:eastAsia="仿宋"/>
                <w:color w:val="auto"/>
                <w:kern w:val="0"/>
                <w:sz w:val="32"/>
                <w:szCs w:val="32"/>
                <w:lang w:val="en-US" w:eastAsia="zh-CN"/>
              </w:rPr>
              <w:t>男子比赛根据2019年全国男子英式7人制橄榄球系列赛第二站</w:t>
            </w:r>
            <w:r>
              <w:rPr>
                <w:rFonts w:hint="eastAsia" w:ascii="Times New Roman" w:hAnsi="Times New Roman" w:eastAsia="仿宋"/>
                <w:color w:val="auto"/>
                <w:kern w:val="0"/>
                <w:sz w:val="32"/>
                <w:szCs w:val="32"/>
              </w:rPr>
              <w:t>成绩排名蛇形排列，</w:t>
            </w:r>
            <w:r>
              <w:rPr>
                <w:rFonts w:hint="eastAsia" w:ascii="Times New Roman" w:hAnsi="Times New Roman" w:eastAsia="仿宋"/>
                <w:color w:val="auto"/>
                <w:kern w:val="0"/>
                <w:sz w:val="32"/>
                <w:szCs w:val="32"/>
                <w:lang w:val="en-US" w:eastAsia="zh-CN"/>
              </w:rPr>
              <w:t>女子比赛根据2019年全国女子英式7人制橄榄球系列赛第一站暨</w:t>
            </w:r>
            <w:bookmarkStart w:id="3" w:name="_GoBack"/>
            <w:bookmarkEnd w:id="3"/>
            <w:r>
              <w:rPr>
                <w:rFonts w:hint="eastAsia" w:ascii="Times New Roman" w:hAnsi="Times New Roman" w:eastAsia="仿宋"/>
                <w:color w:val="auto"/>
                <w:kern w:val="0"/>
                <w:sz w:val="32"/>
                <w:szCs w:val="32"/>
                <w:lang w:val="en-US" w:eastAsia="zh-CN"/>
              </w:rPr>
              <w:t>冠军赛</w:t>
            </w:r>
            <w:r>
              <w:rPr>
                <w:rFonts w:hint="eastAsia" w:ascii="Times New Roman" w:hAnsi="Times New Roman" w:eastAsia="仿宋"/>
                <w:color w:val="auto"/>
                <w:kern w:val="0"/>
                <w:sz w:val="32"/>
                <w:szCs w:val="32"/>
              </w:rPr>
              <w:t>成绩排名蛇形排列</w:t>
            </w:r>
            <w:r>
              <w:rPr>
                <w:rFonts w:hint="eastAsia" w:ascii="Times New Roman" w:hAnsi="Times New Roman" w:eastAsia="仿宋"/>
                <w:color w:val="auto"/>
                <w:kern w:val="0"/>
                <w:sz w:val="32"/>
                <w:szCs w:val="32"/>
                <w:lang w:eastAsia="zh-CN"/>
              </w:rPr>
              <w:t>，</w:t>
            </w:r>
            <w:r>
              <w:rPr>
                <w:rFonts w:hint="eastAsia" w:ascii="Times New Roman" w:hAnsi="Times New Roman" w:eastAsia="仿宋"/>
                <w:color w:val="auto"/>
                <w:kern w:val="0"/>
                <w:sz w:val="32"/>
                <w:szCs w:val="32"/>
              </w:rPr>
              <w:t>201</w:t>
            </w:r>
            <w:r>
              <w:rPr>
                <w:rFonts w:hint="eastAsia" w:ascii="Times New Roman" w:hAnsi="Times New Roman" w:eastAsia="仿宋"/>
                <w:color w:val="auto"/>
                <w:kern w:val="0"/>
                <w:sz w:val="32"/>
                <w:szCs w:val="32"/>
                <w:lang w:val="en-US" w:eastAsia="zh-CN"/>
              </w:rPr>
              <w:t>9</w:t>
            </w:r>
            <w:r>
              <w:rPr>
                <w:rFonts w:hint="eastAsia" w:ascii="Times New Roman" w:hAnsi="Times New Roman" w:eastAsia="仿宋"/>
                <w:color w:val="auto"/>
                <w:kern w:val="0"/>
                <w:sz w:val="32"/>
                <w:szCs w:val="32"/>
              </w:rPr>
              <w:t>年未参加的单位以抽签形式落位。</w:t>
            </w:r>
          </w:p>
          <w:p>
            <w:pPr>
              <w:spacing w:line="480" w:lineRule="exact"/>
              <w:ind w:left="-107" w:leftChars="-51" w:right="-1" w:firstLine="630" w:firstLineChars="197"/>
              <w:rPr>
                <w:rFonts w:ascii="Times New Roman" w:hAnsi="Times New Roman" w:eastAsia="仿宋"/>
                <w:kern w:val="0"/>
                <w:sz w:val="32"/>
                <w:szCs w:val="32"/>
              </w:rPr>
            </w:pPr>
            <w:r>
              <w:rPr>
                <w:rFonts w:hint="eastAsia" w:ascii="Times New Roman" w:hAnsi="Times New Roman" w:eastAsia="仿宋"/>
                <w:kern w:val="0"/>
                <w:sz w:val="32"/>
                <w:szCs w:val="32"/>
              </w:rPr>
              <w:t>2.比赛办法根据报名情况决定。</w:t>
            </w:r>
          </w:p>
          <w:p>
            <w:pPr>
              <w:pStyle w:val="12"/>
              <w:numPr>
                <w:ilvl w:val="0"/>
                <w:numId w:val="4"/>
              </w:numPr>
              <w:spacing w:line="480" w:lineRule="exact"/>
              <w:ind w:left="-107" w:leftChars="-51" w:right="-1" w:firstLine="430" w:firstLineChars="0"/>
              <w:rPr>
                <w:rFonts w:ascii="Times New Roman" w:hAnsi="Times New Roman" w:eastAsia="仿宋"/>
                <w:bCs/>
                <w:kern w:val="0"/>
                <w:sz w:val="32"/>
                <w:szCs w:val="32"/>
              </w:rPr>
            </w:pPr>
            <w:r>
              <w:rPr>
                <w:rFonts w:hint="eastAsia" w:ascii="Times New Roman" w:hAnsi="Times New Roman" w:eastAsia="仿宋"/>
                <w:bCs/>
                <w:kern w:val="0"/>
                <w:sz w:val="32"/>
                <w:szCs w:val="32"/>
              </w:rPr>
              <w:t>比赛规则</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1.采用世界橄榄球联合会最新的橄榄球比赛规则。</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2.比赛时间为14分钟，上下半场各7分钟，中间休息2分钟。</w:t>
            </w:r>
          </w:p>
          <w:p>
            <w:pPr>
              <w:pStyle w:val="12"/>
              <w:spacing w:line="480" w:lineRule="exact"/>
              <w:ind w:firstLine="640"/>
              <w:rPr>
                <w:rFonts w:ascii="Times New Roman" w:hAnsi="Times New Roman" w:eastAsia="仿宋"/>
                <w:color w:val="auto"/>
                <w:kern w:val="0"/>
                <w:sz w:val="32"/>
                <w:szCs w:val="32"/>
              </w:rPr>
            </w:pPr>
            <w:r>
              <w:rPr>
                <w:rFonts w:hint="eastAsia" w:ascii="Times New Roman" w:hAnsi="Times New Roman" w:eastAsia="仿宋"/>
                <w:kern w:val="0"/>
                <w:sz w:val="32"/>
                <w:szCs w:val="32"/>
              </w:rPr>
              <w:t>3.每队可以在比赛进行过程中提出换人，换人人数为5人</w:t>
            </w:r>
            <w:r>
              <w:rPr>
                <w:rFonts w:hint="eastAsia" w:ascii="Times New Roman" w:hAnsi="Times New Roman" w:eastAsia="仿宋"/>
                <w:kern w:val="0"/>
                <w:sz w:val="32"/>
                <w:szCs w:val="32"/>
                <w:lang w:val="en-US" w:eastAsia="zh-CN"/>
              </w:rPr>
              <w:t>次</w:t>
            </w:r>
            <w:r>
              <w:rPr>
                <w:rFonts w:hint="eastAsia" w:ascii="Times New Roman" w:hAnsi="Times New Roman" w:eastAsia="仿宋"/>
                <w:kern w:val="0"/>
                <w:sz w:val="32"/>
                <w:szCs w:val="32"/>
              </w:rPr>
              <w:t>，换下的队员可以重新上场</w:t>
            </w:r>
            <w:r>
              <w:rPr>
                <w:rFonts w:hint="eastAsia" w:ascii="Times New Roman" w:hAnsi="Times New Roman" w:eastAsia="仿宋"/>
                <w:color w:val="auto"/>
                <w:kern w:val="0"/>
                <w:sz w:val="32"/>
                <w:szCs w:val="32"/>
              </w:rPr>
              <w:t>。</w:t>
            </w:r>
          </w:p>
          <w:p>
            <w:pPr>
              <w:pStyle w:val="12"/>
              <w:spacing w:line="480" w:lineRule="exact"/>
              <w:ind w:firstLine="640"/>
              <w:rPr>
                <w:rFonts w:ascii="Times New Roman" w:hAnsi="Times New Roman" w:eastAsia="仿宋"/>
                <w:color w:val="auto"/>
                <w:sz w:val="32"/>
                <w:szCs w:val="32"/>
              </w:rPr>
            </w:pPr>
            <w:r>
              <w:rPr>
                <w:rFonts w:hint="eastAsia" w:ascii="Times New Roman" w:hAnsi="Times New Roman" w:eastAsia="仿宋"/>
                <w:color w:val="auto"/>
                <w:sz w:val="32"/>
                <w:szCs w:val="32"/>
              </w:rPr>
              <w:t>4.达阵后加踢射门：为提高国内橄榄球运动员在达阵后加踢射门的技术水平，进一步重视该项技术，经中国橄榄球协会研究决定对达阵后加踢射门的得分分值规则予以修改，具体如下：</w:t>
            </w:r>
          </w:p>
          <w:p>
            <w:pPr>
              <w:pStyle w:val="12"/>
              <w:spacing w:line="480" w:lineRule="exact"/>
              <w:ind w:firstLine="640"/>
              <w:jc w:val="left"/>
              <w:rPr>
                <w:rFonts w:hint="eastAsia" w:ascii="Times New Roman" w:hAnsi="Times New Roman" w:eastAsia="仿宋"/>
                <w:color w:val="auto"/>
                <w:sz w:val="32"/>
                <w:szCs w:val="32"/>
              </w:rPr>
            </w:pPr>
            <w:r>
              <w:rPr>
                <w:rFonts w:hint="eastAsia" w:ascii="Times New Roman" w:hAnsi="Times New Roman" w:eastAsia="仿宋"/>
                <w:color w:val="auto"/>
                <w:sz w:val="32"/>
                <w:szCs w:val="32"/>
              </w:rPr>
              <w:t>（1）女子队员在边线与15米线（包括15米线）区域内的追加射门成功的分值由2分改为3分。</w:t>
            </w:r>
          </w:p>
          <w:p>
            <w:pPr>
              <w:pStyle w:val="12"/>
              <w:spacing w:line="480" w:lineRule="exact"/>
              <w:ind w:firstLine="640"/>
              <w:jc w:val="left"/>
              <w:rPr>
                <w:rFonts w:hint="eastAsia" w:ascii="Times New Roman" w:hAnsi="Times New Roman" w:eastAsia="仿宋"/>
                <w:color w:val="auto"/>
                <w:sz w:val="32"/>
                <w:szCs w:val="32"/>
              </w:rPr>
            </w:pPr>
            <w:r>
              <w:rPr>
                <w:rFonts w:hint="eastAsia" w:ascii="Times New Roman" w:hAnsi="Times New Roman" w:eastAsia="仿宋"/>
                <w:color w:val="auto"/>
                <w:sz w:val="32"/>
                <w:szCs w:val="32"/>
              </w:rPr>
              <w:t>（2）</w:t>
            </w:r>
            <w:r>
              <w:rPr>
                <w:rFonts w:hint="eastAsia" w:ascii="仿宋_GB2312" w:hAnsi="Times New Roman" w:eastAsia="仿宋_GB2312" w:cs="黑体"/>
                <w:bCs/>
                <w:kern w:val="0"/>
                <w:sz w:val="32"/>
                <w:szCs w:val="32"/>
              </w:rPr>
              <w:t>女子队员在边线与</w:t>
            </w:r>
            <w:r>
              <w:rPr>
                <w:rFonts w:hint="default" w:ascii="Times New Roman" w:hAnsi="Times New Roman" w:eastAsia="仿宋_GB2312" w:cs="Times New Roman"/>
                <w:bCs/>
                <w:kern w:val="0"/>
                <w:sz w:val="32"/>
                <w:szCs w:val="32"/>
              </w:rPr>
              <w:t>5</w:t>
            </w:r>
            <w:r>
              <w:rPr>
                <w:rFonts w:hint="eastAsia" w:ascii="仿宋_GB2312" w:hAnsi="Times New Roman" w:eastAsia="仿宋_GB2312" w:cs="黑体"/>
                <w:bCs/>
                <w:kern w:val="0"/>
                <w:sz w:val="32"/>
                <w:szCs w:val="32"/>
              </w:rPr>
              <w:t>米（包括</w:t>
            </w:r>
            <w:r>
              <w:rPr>
                <w:rFonts w:hint="default" w:ascii="Times New Roman" w:hAnsi="Times New Roman" w:eastAsia="仿宋_GB2312" w:cs="Times New Roman"/>
                <w:bCs/>
                <w:kern w:val="0"/>
                <w:sz w:val="32"/>
                <w:szCs w:val="32"/>
              </w:rPr>
              <w:t>5</w:t>
            </w:r>
            <w:r>
              <w:rPr>
                <w:rFonts w:hint="eastAsia" w:ascii="仿宋_GB2312" w:hAnsi="Times New Roman" w:eastAsia="仿宋_GB2312" w:cs="黑体"/>
                <w:bCs/>
                <w:kern w:val="0"/>
                <w:sz w:val="32"/>
                <w:szCs w:val="32"/>
              </w:rPr>
              <w:t>米线）区域内追加射门成功的分值由</w:t>
            </w:r>
            <w:r>
              <w:rPr>
                <w:rFonts w:hint="default" w:ascii="Times New Roman" w:hAnsi="Times New Roman" w:eastAsia="仿宋_GB2312" w:cs="Times New Roman"/>
                <w:bCs/>
                <w:kern w:val="0"/>
                <w:sz w:val="32"/>
                <w:szCs w:val="32"/>
              </w:rPr>
              <w:t>2</w:t>
            </w:r>
            <w:r>
              <w:rPr>
                <w:rFonts w:hint="eastAsia" w:ascii="仿宋_GB2312" w:hAnsi="Times New Roman" w:eastAsia="仿宋_GB2312" w:cs="黑体"/>
                <w:bCs/>
                <w:kern w:val="0"/>
                <w:sz w:val="32"/>
                <w:szCs w:val="32"/>
              </w:rPr>
              <w:t>分改为</w:t>
            </w:r>
            <w:r>
              <w:rPr>
                <w:rFonts w:hint="default" w:ascii="Times New Roman" w:hAnsi="Times New Roman" w:eastAsia="仿宋_GB2312" w:cs="Times New Roman"/>
                <w:bCs/>
                <w:kern w:val="0"/>
                <w:sz w:val="32"/>
                <w:szCs w:val="32"/>
              </w:rPr>
              <w:t>4</w:t>
            </w:r>
            <w:r>
              <w:rPr>
                <w:rFonts w:hint="eastAsia" w:ascii="仿宋_GB2312" w:hAnsi="Times New Roman" w:eastAsia="仿宋_GB2312" w:cs="黑体"/>
                <w:bCs/>
                <w:kern w:val="0"/>
                <w:sz w:val="32"/>
                <w:szCs w:val="32"/>
              </w:rPr>
              <w:t>分。</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（3）男子队员在边线与5米（包括5米线）区域内追加射门成功的分值由2分改为</w:t>
            </w:r>
            <w:r>
              <w:rPr>
                <w:rFonts w:hint="default" w:ascii="Times New Roman" w:hAnsi="Times New Roman" w:eastAsia="仿宋" w:cs="Times New Roman"/>
                <w:color w:val="auto"/>
                <w:sz w:val="32"/>
                <w:szCs w:val="32"/>
              </w:rPr>
              <w:t>3</w:t>
            </w:r>
            <w:r>
              <w:rPr>
                <w:rFonts w:hint="eastAsia" w:ascii="Times New Roman" w:hAnsi="Times New Roman" w:eastAsia="仿宋"/>
                <w:color w:val="auto"/>
                <w:sz w:val="32"/>
                <w:szCs w:val="32"/>
              </w:rPr>
              <w:t>分。</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hint="eastAsia" w:ascii="Times New Roman" w:hAnsi="Times New Roman" w:eastAsia="仿宋"/>
                <w:color w:val="auto"/>
                <w:sz w:val="32"/>
                <w:szCs w:val="32"/>
                <w:lang w:val="en-US" w:eastAsia="zh-CN"/>
              </w:rPr>
              <w:t>4</w:t>
            </w:r>
            <w:r>
              <w:rPr>
                <w:rFonts w:hint="eastAsia" w:ascii="Times New Roman" w:hAnsi="Times New Roman" w:eastAsia="仿宋"/>
                <w:color w:val="auto"/>
                <w:sz w:val="32"/>
                <w:szCs w:val="32"/>
              </w:rPr>
              <w:t>）其他区域的达阵后的追加射门可选择达阵点的延长线上，也可选择3分区域内进行追加射门。</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hint="eastAsia" w:ascii="Times New Roman" w:hAnsi="Times New Roman" w:eastAsia="仿宋"/>
                <w:color w:val="auto"/>
                <w:sz w:val="32"/>
                <w:szCs w:val="32"/>
                <w:lang w:val="en-US" w:eastAsia="zh-CN"/>
              </w:rPr>
              <w:t>5</w:t>
            </w:r>
            <w:r>
              <w:rPr>
                <w:rFonts w:hint="eastAsia" w:ascii="Times New Roman" w:hAnsi="Times New Roman" w:eastAsia="仿宋"/>
                <w:color w:val="auto"/>
                <w:sz w:val="32"/>
                <w:szCs w:val="32"/>
              </w:rPr>
              <w:t>）采用同侧原则，只能选择与达阵同侧的3分区域内射门加分，由主裁判判定。</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hint="eastAsia" w:ascii="Times New Roman" w:hAnsi="Times New Roman" w:eastAsia="仿宋"/>
                <w:color w:val="auto"/>
                <w:sz w:val="32"/>
                <w:szCs w:val="32"/>
                <w:lang w:val="en-US" w:eastAsia="zh-CN"/>
              </w:rPr>
              <w:t>6</w:t>
            </w:r>
            <w:r>
              <w:rPr>
                <w:rFonts w:hint="eastAsia" w:ascii="Times New Roman" w:hAnsi="Times New Roman" w:eastAsia="仿宋"/>
                <w:color w:val="auto"/>
                <w:sz w:val="32"/>
                <w:szCs w:val="32"/>
              </w:rPr>
              <w:t>）如同一场比赛同一支队伍3次以上（含3次）3分区域内追加射门成功，则在第4次追加射门成功后开始每次成功射门后再追加1分。</w:t>
            </w:r>
          </w:p>
          <w:p>
            <w:pPr>
              <w:pStyle w:val="12"/>
              <w:spacing w:line="480" w:lineRule="exact"/>
              <w:ind w:right="-1" w:firstLine="640"/>
              <w:rPr>
                <w:rFonts w:ascii="Times New Roman" w:hAnsi="Times New Roman" w:eastAsia="仿宋"/>
                <w:kern w:val="0"/>
                <w:sz w:val="32"/>
                <w:szCs w:val="32"/>
              </w:rPr>
            </w:pPr>
            <w:r>
              <w:rPr>
                <w:rFonts w:hint="eastAsia" w:ascii="Times New Roman" w:hAnsi="Times New Roman" w:eastAsia="仿宋"/>
                <w:kern w:val="0"/>
                <w:sz w:val="32"/>
                <w:szCs w:val="32"/>
              </w:rPr>
              <w:t>5.橄榄球比赛风雨无阻，各队须按时参加比赛。</w:t>
            </w:r>
          </w:p>
          <w:p>
            <w:pPr>
              <w:pStyle w:val="12"/>
              <w:numPr>
                <w:ilvl w:val="0"/>
                <w:numId w:val="4"/>
              </w:numPr>
              <w:spacing w:line="480" w:lineRule="exact"/>
              <w:ind w:left="0" w:firstLine="640"/>
              <w:rPr>
                <w:rFonts w:ascii="Times New Roman" w:hAnsi="Times New Roman" w:eastAsia="仿宋"/>
                <w:bCs/>
                <w:kern w:val="0"/>
                <w:sz w:val="32"/>
                <w:szCs w:val="32"/>
              </w:rPr>
            </w:pPr>
            <w:r>
              <w:rPr>
                <w:rFonts w:hint="eastAsia" w:ascii="Times New Roman" w:hAnsi="Times New Roman" w:eastAsia="仿宋"/>
                <w:bCs/>
                <w:kern w:val="0"/>
                <w:sz w:val="32"/>
                <w:szCs w:val="32"/>
              </w:rPr>
              <w:t>服装：</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1.各队应准备不同颜色印有号码的比赛服至少两套，并在报名表上注明服装颜色和队员号码。号码数字须为1至1</w:t>
            </w:r>
            <w:r>
              <w:rPr>
                <w:rFonts w:hint="eastAsia" w:ascii="Times New Roman" w:hAnsi="Times New Roman" w:eastAsia="仿宋"/>
                <w:kern w:val="0"/>
                <w:sz w:val="32"/>
                <w:szCs w:val="32"/>
                <w:lang w:val="en-US" w:eastAsia="zh-CN"/>
              </w:rPr>
              <w:t>5</w:t>
            </w:r>
            <w:r>
              <w:rPr>
                <w:rFonts w:hint="eastAsia" w:ascii="Times New Roman" w:hAnsi="Times New Roman" w:eastAsia="仿宋"/>
                <w:kern w:val="0"/>
                <w:sz w:val="32"/>
                <w:szCs w:val="32"/>
              </w:rPr>
              <w:t>号且清晰可见，不得涂改、遮挡；</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2.运动员需穿着符合中国橄榄球协会认定的服装和护具；</w:t>
            </w:r>
          </w:p>
          <w:p>
            <w:pPr>
              <w:pStyle w:val="12"/>
              <w:spacing w:line="480" w:lineRule="exact"/>
              <w:ind w:firstLine="640"/>
              <w:rPr>
                <w:rFonts w:ascii="Times New Roman" w:hAnsi="Times New Roman" w:eastAsia="仿宋"/>
                <w:sz w:val="32"/>
                <w:szCs w:val="32"/>
              </w:rPr>
            </w:pPr>
            <w:r>
              <w:rPr>
                <w:rFonts w:hint="eastAsia" w:ascii="Times New Roman" w:hAnsi="Times New Roman" w:eastAsia="仿宋"/>
                <w:kern w:val="0"/>
                <w:sz w:val="32"/>
                <w:szCs w:val="32"/>
              </w:rPr>
              <w:t>3.</w:t>
            </w:r>
            <w:r>
              <w:rPr>
                <w:rFonts w:hint="eastAsia" w:ascii="Times New Roman" w:hAnsi="Times New Roman" w:eastAsia="仿宋"/>
                <w:kern w:val="0"/>
                <w:sz w:val="32"/>
                <w:szCs w:val="32"/>
                <w:lang w:val="en-US" w:eastAsia="zh-CN"/>
              </w:rPr>
              <w:t>未满18周岁</w:t>
            </w:r>
            <w:r>
              <w:rPr>
                <w:rFonts w:hint="eastAsia" w:ascii="Times New Roman" w:hAnsi="Times New Roman" w:eastAsia="仿宋"/>
                <w:kern w:val="0"/>
                <w:sz w:val="32"/>
                <w:szCs w:val="32"/>
              </w:rPr>
              <w:t>上场运动员必须佩戴头盔、护齿和护肩；</w:t>
            </w:r>
          </w:p>
          <w:p>
            <w:pPr>
              <w:pStyle w:val="12"/>
              <w:spacing w:line="480" w:lineRule="exact"/>
              <w:ind w:firstLine="640"/>
              <w:rPr>
                <w:rFonts w:ascii="Times New Roman" w:hAnsi="Times New Roman" w:eastAsia="仿宋"/>
                <w:sz w:val="32"/>
                <w:szCs w:val="32"/>
              </w:rPr>
            </w:pPr>
            <w:r>
              <w:rPr>
                <w:rFonts w:hint="eastAsia" w:ascii="Times New Roman" w:hAnsi="Times New Roman" w:eastAsia="仿宋"/>
                <w:kern w:val="0"/>
                <w:sz w:val="32"/>
                <w:szCs w:val="32"/>
              </w:rPr>
              <w:t>4.服装上不准使用金属纽扣和金属饰物；运动员不得戴首</w:t>
            </w:r>
            <w:r>
              <w:rPr>
                <w:rFonts w:hint="eastAsia" w:ascii="Times New Roman" w:hAnsi="Times New Roman" w:eastAsia="仿宋"/>
                <w:sz w:val="32"/>
                <w:szCs w:val="32"/>
              </w:rPr>
              <w:t>饰。</w:t>
            </w:r>
          </w:p>
          <w:p>
            <w:pPr>
              <w:pStyle w:val="12"/>
              <w:spacing w:line="480" w:lineRule="exact"/>
              <w:ind w:firstLine="643"/>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二</w:t>
            </w:r>
            <w:r>
              <w:rPr>
                <w:rFonts w:hint="eastAsia" w:ascii="Times New Roman" w:hAnsi="Times New Roman" w:eastAsia="仿宋"/>
                <w:b/>
                <w:kern w:val="0"/>
                <w:sz w:val="32"/>
                <w:szCs w:val="32"/>
              </w:rPr>
              <w:t>、决定名次办法</w:t>
            </w:r>
          </w:p>
          <w:p>
            <w:pPr>
              <w:pStyle w:val="12"/>
              <w:spacing w:line="480" w:lineRule="exact"/>
              <w:ind w:left="-107" w:leftChars="-51" w:right="-1" w:firstLine="640"/>
              <w:rPr>
                <w:rFonts w:ascii="Times New Roman" w:hAnsi="Times New Roman" w:eastAsia="仿宋"/>
                <w:sz w:val="32"/>
                <w:szCs w:val="32"/>
              </w:rPr>
            </w:pPr>
            <w:r>
              <w:rPr>
                <w:rFonts w:hint="eastAsia" w:ascii="Times New Roman" w:hAnsi="Times New Roman" w:eastAsia="仿宋"/>
                <w:sz w:val="32"/>
                <w:szCs w:val="32"/>
              </w:rPr>
              <w:t>（一）小组循环赛决定名次的办法：</w:t>
            </w:r>
          </w:p>
          <w:p>
            <w:pPr>
              <w:spacing w:line="480" w:lineRule="exact"/>
              <w:ind w:left="-107" w:leftChars="-51" w:right="-1" w:firstLine="640" w:firstLineChars="200"/>
              <w:rPr>
                <w:rFonts w:ascii="Times New Roman" w:hAnsi="Times New Roman" w:eastAsia="仿宋"/>
                <w:sz w:val="32"/>
                <w:szCs w:val="32"/>
              </w:rPr>
            </w:pPr>
            <w:r>
              <w:rPr>
                <w:rFonts w:hint="eastAsia" w:ascii="Times New Roman" w:hAnsi="Times New Roman" w:eastAsia="仿宋"/>
                <w:sz w:val="32"/>
                <w:szCs w:val="32"/>
              </w:rPr>
              <w:t>在循环赛中各队每胜一场得3分，平一场得2分，负一场得1分，弃权得0分。积分高者名次列前。弃权需在赛前1小时由领队进行书面确认，经赛事组委会认可后，本场比赛比分为0:50。</w:t>
            </w:r>
          </w:p>
          <w:p>
            <w:pPr>
              <w:spacing w:line="480" w:lineRule="exact"/>
              <w:ind w:left="-107" w:leftChars="-51" w:right="-1" w:firstLine="640" w:firstLineChars="200"/>
              <w:rPr>
                <w:rFonts w:ascii="Times New Roman" w:hAnsi="Times New Roman" w:eastAsia="仿宋"/>
                <w:sz w:val="32"/>
                <w:szCs w:val="32"/>
              </w:rPr>
            </w:pPr>
            <w:r>
              <w:rPr>
                <w:rFonts w:hint="eastAsia" w:ascii="Times New Roman" w:hAnsi="Times New Roman" w:eastAsia="仿宋"/>
                <w:sz w:val="32"/>
                <w:szCs w:val="32"/>
              </w:rPr>
              <w:t>如同一小组出现积分相等的情况，则以积分相等各队之间的比赛结果为准，获胜的队名次列前。如果无法确定名次，将按下述办法决定名次：</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以积分相等各队之间比赛的所有场次中的总得分与总失分的差数进行比较，差数正数值大的队名次列前列；</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如仍不能确定名次，则以积分相等各队在同一小组的所有场次的比赛中的达阵总得分与被对方达阵总失分的差数进行比较，差数正数值大的队名次列前；</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如仍不能确定名次，则以积分相等各队在同一小组的所有场次的比赛中的总得分决定名次，总得分高的队名次列前；</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如仍不能确定名次，则以积分相等各队在同一小组的所有场次的比赛中达阵总得分决定名次，达阵总得分高的队名次列前；</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如仍不能确定名次，则两队领队采用抛掷硬币的方式决定名次。</w:t>
            </w:r>
          </w:p>
          <w:p>
            <w:pPr>
              <w:pStyle w:val="12"/>
              <w:spacing w:line="480" w:lineRule="exact"/>
              <w:ind w:left="-107" w:leftChars="-51" w:right="-1" w:firstLine="640"/>
              <w:rPr>
                <w:rFonts w:hint="eastAsia" w:ascii="Times New Roman" w:hAnsi="Times New Roman" w:eastAsia="仿宋"/>
                <w:sz w:val="32"/>
                <w:szCs w:val="32"/>
                <w:lang w:eastAsia="zh-CN"/>
              </w:rPr>
            </w:pPr>
            <w:r>
              <w:rPr>
                <w:rFonts w:hint="eastAsia" w:ascii="Times New Roman" w:hAnsi="Times New Roman" w:eastAsia="仿宋"/>
                <w:sz w:val="32"/>
                <w:szCs w:val="32"/>
              </w:rPr>
              <w:t>（二）各小组同名次队伍成绩的比较办法</w:t>
            </w:r>
            <w:r>
              <w:rPr>
                <w:rFonts w:hint="eastAsia" w:ascii="Times New Roman" w:hAnsi="Times New Roman" w:eastAsia="仿宋"/>
                <w:sz w:val="32"/>
                <w:szCs w:val="32"/>
                <w:lang w:eastAsia="zh-CN"/>
              </w:rPr>
              <w:t>：</w:t>
            </w:r>
          </w:p>
          <w:p>
            <w:pPr>
              <w:pStyle w:val="12"/>
              <w:spacing w:line="480" w:lineRule="exact"/>
              <w:ind w:left="-108" w:right="-1" w:firstLine="646" w:firstLineChars="202"/>
              <w:rPr>
                <w:rFonts w:ascii="Times New Roman" w:hAnsi="Times New Roman" w:eastAsia="仿宋"/>
                <w:sz w:val="32"/>
                <w:szCs w:val="32"/>
              </w:rPr>
            </w:pPr>
            <w:r>
              <w:rPr>
                <w:rFonts w:hint="eastAsia" w:ascii="Times New Roman" w:hAnsi="Times New Roman" w:eastAsia="仿宋"/>
                <w:sz w:val="32"/>
                <w:szCs w:val="32"/>
              </w:rPr>
              <w:t>若各小组队伍数量相等，则积分高者成绩列前；</w:t>
            </w:r>
          </w:p>
          <w:p>
            <w:pPr>
              <w:pStyle w:val="12"/>
              <w:spacing w:line="480" w:lineRule="exact"/>
              <w:ind w:left="-108" w:right="-1" w:firstLine="646" w:firstLineChars="202"/>
              <w:rPr>
                <w:rFonts w:ascii="Times New Roman" w:hAnsi="Times New Roman" w:eastAsia="仿宋"/>
                <w:sz w:val="32"/>
                <w:szCs w:val="32"/>
              </w:rPr>
            </w:pPr>
            <w:r>
              <w:rPr>
                <w:rFonts w:hint="eastAsia" w:ascii="Times New Roman" w:hAnsi="Times New Roman" w:eastAsia="仿宋"/>
                <w:sz w:val="32"/>
                <w:szCs w:val="32"/>
              </w:rPr>
              <w:t>若各小组队伍数量不同，则统计的小组赛场次数以小组队数少的小组的场次数为准。队数多的小组中进行统计的队伍与该小组最后一名的比赛场次不计入统计范畴。在同等场次数量的基础上，积分高者名次列前。</w:t>
            </w:r>
          </w:p>
          <w:p>
            <w:pPr>
              <w:pStyle w:val="12"/>
              <w:spacing w:line="480" w:lineRule="exact"/>
              <w:ind w:left="-108" w:right="-1" w:firstLine="646" w:firstLineChars="202"/>
              <w:rPr>
                <w:rFonts w:ascii="Times New Roman" w:hAnsi="Times New Roman" w:eastAsia="仿宋"/>
                <w:sz w:val="32"/>
                <w:szCs w:val="32"/>
              </w:rPr>
            </w:pPr>
            <w:r>
              <w:rPr>
                <w:rFonts w:hint="eastAsia" w:ascii="Times New Roman" w:hAnsi="Times New Roman" w:eastAsia="仿宋"/>
                <w:kern w:val="0"/>
                <w:sz w:val="32"/>
                <w:szCs w:val="32"/>
              </w:rPr>
              <w:t>若有小组同名次的队积分相等，则如所有小组队数相等，按各积分相等同名次队在各自小组的所有场次的比赛中的总得分与总失分的差数和达阵总得分与达阵总失分的差数进行比较，差数正数值大的队排名列前；</w:t>
            </w:r>
          </w:p>
          <w:p>
            <w:pPr>
              <w:spacing w:line="480" w:lineRule="exact"/>
              <w:ind w:left="-107" w:right="-1" w:firstLine="640" w:firstLineChars="200"/>
              <w:rPr>
                <w:rFonts w:ascii="Times New Roman" w:hAnsi="Times New Roman" w:eastAsia="仿宋"/>
                <w:sz w:val="32"/>
                <w:szCs w:val="32"/>
              </w:rPr>
            </w:pPr>
            <w:r>
              <w:rPr>
                <w:rFonts w:hint="eastAsia" w:ascii="Times New Roman" w:hAnsi="Times New Roman" w:eastAsia="仿宋"/>
                <w:kern w:val="0"/>
                <w:sz w:val="32"/>
                <w:szCs w:val="32"/>
              </w:rPr>
              <w:t>如小组队数不相同，则以队数最少的小组每队比赛的场次数为计算标准，队数多的小组的相关队伍与该小组排名最差的队伍的比赛数据不予计算，计算方法同上。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如仍不能决定排名，则在积分相等各队之间的比赛中总得分多的队名次列前。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如仍不能决定名次，则积分相等各队在各自小组的所有场次的比赛中的达阵总得分多的队名次列前。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如仍不能决定排名，则积分相同队的领队之间以抛掷硬币的方式决定排名。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（三）第二阶段决定名次的办法：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0"/>
                <w:szCs w:val="30"/>
                <w:lang w:val="en-US" w:eastAsia="zh-CN"/>
              </w:rPr>
            </w:pPr>
            <w:r>
              <w:rPr>
                <w:rFonts w:hint="eastAsia" w:ascii="仿宋" w:hAnsi="仿宋" w:eastAsia="仿宋" w:cs="仿宋"/>
                <w:sz w:val="32"/>
                <w:szCs w:val="32"/>
                <w:lang w:val="en-US" w:eastAsia="zh-CN"/>
              </w:rPr>
              <w:t>若两队战成平局，则直接进行加时赛直到决出优胜队。裁判组织双方队长重新抛币。加时赛每节比赛为</w:t>
            </w:r>
            <w:r>
              <w:rPr>
                <w:rFonts w:hint="default" w:ascii="Times New Roman" w:hAnsi="Times New Roman" w:eastAsia="仿宋" w:cs="Times New Roman"/>
                <w:sz w:val="32"/>
                <w:szCs w:val="32"/>
                <w:lang w:val="en-US" w:eastAsia="zh-CN"/>
              </w:rPr>
              <w:t>5</w:t>
            </w:r>
            <w:r>
              <w:rPr>
                <w:rFonts w:hint="eastAsia" w:ascii="仿宋" w:hAnsi="仿宋" w:eastAsia="仿宋" w:cs="仿宋"/>
                <w:sz w:val="32"/>
                <w:szCs w:val="32"/>
                <w:lang w:val="en-US" w:eastAsia="zh-CN"/>
              </w:rPr>
              <w:t>分钟，每节比赛后，若仍为平局，则双方即刻交换场地，没有间歇。加时赛采用突然死亡法（最先得分的队即为获胜队并且在那一时刻比赛结束）。</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三</w:t>
            </w:r>
            <w:r>
              <w:rPr>
                <w:rFonts w:hint="eastAsia" w:ascii="Times New Roman" w:hAnsi="Times New Roman" w:eastAsia="仿宋"/>
                <w:b/>
                <w:kern w:val="0"/>
                <w:sz w:val="32"/>
                <w:szCs w:val="32"/>
              </w:rPr>
              <w:t>、保险</w:t>
            </w:r>
          </w:p>
          <w:p>
            <w:pPr>
              <w:spacing w:line="480" w:lineRule="exact"/>
              <w:ind w:left="-107" w:leftChars="-51" w:firstLine="640" w:firstLineChars="200"/>
              <w:rPr>
                <w:rFonts w:ascii="Times New Roman" w:hAnsi="Times New Roman" w:eastAsia="仿宋"/>
                <w:bCs/>
                <w:kern w:val="0"/>
                <w:sz w:val="32"/>
                <w:szCs w:val="32"/>
              </w:rPr>
            </w:pPr>
            <w:r>
              <w:rPr>
                <w:rFonts w:hint="eastAsia" w:ascii="Times New Roman" w:hAnsi="Times New Roman" w:eastAsia="仿宋"/>
                <w:bCs/>
                <w:kern w:val="0"/>
                <w:sz w:val="32"/>
                <w:szCs w:val="32"/>
              </w:rPr>
              <w:t>各参赛队单位对参赛运动员的身体健康和参赛期间可能会出现的意外伤害负有全责。</w:t>
            </w:r>
          </w:p>
          <w:p>
            <w:pPr>
              <w:spacing w:line="480" w:lineRule="exact"/>
              <w:ind w:left="-107" w:leftChars="-51" w:firstLine="640" w:firstLineChars="200"/>
              <w:rPr>
                <w:rFonts w:ascii="Times New Roman" w:hAnsi="Times New Roman" w:eastAsia="仿宋"/>
                <w:bCs/>
                <w:kern w:val="0"/>
                <w:sz w:val="32"/>
                <w:szCs w:val="32"/>
              </w:rPr>
            </w:pPr>
            <w:r>
              <w:rPr>
                <w:rFonts w:hint="eastAsia" w:ascii="Times New Roman" w:hAnsi="Times New Roman" w:eastAsia="仿宋"/>
                <w:bCs/>
                <w:kern w:val="0"/>
                <w:sz w:val="32"/>
                <w:szCs w:val="32"/>
              </w:rPr>
              <w:t>各参赛队须为所有运动员办理运动意外伤害保险，并在报到时提交至赛事组委会审核，未为所有运动员办理运动意外伤害保险的单位不准参赛。</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四</w:t>
            </w:r>
            <w:r>
              <w:rPr>
                <w:rFonts w:hint="eastAsia" w:ascii="Times New Roman" w:hAnsi="Times New Roman" w:eastAsia="仿宋"/>
                <w:b/>
                <w:kern w:val="0"/>
                <w:sz w:val="32"/>
                <w:szCs w:val="32"/>
              </w:rPr>
              <w:t>、裁判员和仲裁委员会</w:t>
            </w:r>
          </w:p>
          <w:p>
            <w:pPr>
              <w:pStyle w:val="12"/>
              <w:spacing w:line="480" w:lineRule="exact"/>
              <w:ind w:right="-1" w:firstLine="640"/>
              <w:rPr>
                <w:rFonts w:ascii="Times New Roman" w:hAnsi="Times New Roman" w:eastAsia="仿宋"/>
                <w:kern w:val="0"/>
                <w:sz w:val="32"/>
                <w:szCs w:val="32"/>
              </w:rPr>
            </w:pPr>
            <w:r>
              <w:rPr>
                <w:rFonts w:hint="eastAsia" w:ascii="Times New Roman" w:hAnsi="Times New Roman" w:eastAsia="仿宋"/>
                <w:kern w:val="0"/>
                <w:sz w:val="32"/>
                <w:szCs w:val="32"/>
              </w:rPr>
              <w:t>（一）裁判员和仲裁委员会成员以及相关技术人员由中国橄榄球协会统一选派。</w:t>
            </w:r>
          </w:p>
          <w:p>
            <w:pPr>
              <w:pStyle w:val="12"/>
              <w:spacing w:line="480" w:lineRule="exact"/>
              <w:ind w:right="-1" w:firstLine="640"/>
              <w:rPr>
                <w:rFonts w:ascii="Times New Roman" w:hAnsi="Times New Roman" w:eastAsia="仿宋"/>
                <w:kern w:val="0"/>
                <w:sz w:val="32"/>
                <w:szCs w:val="32"/>
              </w:rPr>
            </w:pPr>
            <w:r>
              <w:rPr>
                <w:rFonts w:hint="eastAsia" w:ascii="Times New Roman" w:hAnsi="Times New Roman" w:eastAsia="仿宋"/>
                <w:kern w:val="0"/>
                <w:sz w:val="32"/>
                <w:szCs w:val="32"/>
              </w:rPr>
              <w:t>（二）设仲裁委员会，其人员组成和职责按照《仲裁委员会条例》执行。</w:t>
            </w:r>
          </w:p>
          <w:p>
            <w:pPr>
              <w:pStyle w:val="12"/>
              <w:spacing w:line="480" w:lineRule="exact"/>
              <w:ind w:right="-1" w:firstLine="640"/>
              <w:rPr>
                <w:rFonts w:ascii="Times New Roman" w:hAnsi="Times New Roman" w:eastAsia="仿宋"/>
                <w:bCs/>
                <w:kern w:val="0"/>
                <w:sz w:val="32"/>
                <w:szCs w:val="32"/>
              </w:rPr>
            </w:pPr>
            <w:r>
              <w:rPr>
                <w:rFonts w:hint="eastAsia" w:ascii="Times New Roman" w:hAnsi="Times New Roman" w:eastAsia="仿宋"/>
                <w:kern w:val="0"/>
                <w:sz w:val="32"/>
                <w:szCs w:val="32"/>
              </w:rPr>
              <w:t>（三）赛事纪律：比赛依据《全国体育竞赛赛区工作条例》和《中国橄榄球协会纪律及处罚规定》处理违规违纪事件。</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bCs/>
                <w:kern w:val="0"/>
                <w:sz w:val="32"/>
                <w:szCs w:val="32"/>
              </w:rPr>
              <w:t>十</w:t>
            </w:r>
            <w:r>
              <w:rPr>
                <w:rFonts w:hint="eastAsia" w:ascii="Times New Roman" w:hAnsi="Times New Roman" w:eastAsia="仿宋"/>
                <w:b/>
                <w:bCs/>
                <w:kern w:val="0"/>
                <w:sz w:val="32"/>
                <w:szCs w:val="32"/>
                <w:lang w:val="en-US" w:eastAsia="zh-CN"/>
              </w:rPr>
              <w:t>五</w:t>
            </w:r>
            <w:r>
              <w:rPr>
                <w:rFonts w:hint="eastAsia" w:ascii="Times New Roman" w:hAnsi="Times New Roman" w:eastAsia="仿宋"/>
                <w:b/>
                <w:bCs/>
                <w:kern w:val="0"/>
                <w:sz w:val="32"/>
                <w:szCs w:val="32"/>
              </w:rPr>
              <w:t>、赛事礼仪规定</w:t>
            </w:r>
          </w:p>
          <w:p>
            <w:pPr>
              <w:spacing w:line="480" w:lineRule="exact"/>
              <w:ind w:left="-107" w:leftChars="-51" w:firstLine="640" w:firstLineChars="200"/>
              <w:rPr>
                <w:rFonts w:ascii="Times New Roman" w:hAnsi="Times New Roman" w:eastAsia="仿宋"/>
                <w:bCs/>
                <w:kern w:val="0"/>
                <w:sz w:val="32"/>
                <w:szCs w:val="32"/>
              </w:rPr>
            </w:pPr>
            <w:r>
              <w:rPr>
                <w:rFonts w:hint="eastAsia" w:ascii="Times New Roman" w:hAnsi="Times New Roman" w:eastAsia="仿宋"/>
                <w:bCs/>
                <w:kern w:val="0"/>
                <w:sz w:val="32"/>
                <w:szCs w:val="32"/>
              </w:rPr>
              <w:t>各参赛队应严格遵守退场礼仪，每场比赛结束后双方队员握手并向执场裁判致谢。</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六</w:t>
            </w:r>
            <w:r>
              <w:rPr>
                <w:rFonts w:hint="eastAsia" w:ascii="Times New Roman" w:hAnsi="Times New Roman" w:eastAsia="仿宋"/>
                <w:b/>
                <w:kern w:val="0"/>
                <w:sz w:val="32"/>
                <w:szCs w:val="32"/>
              </w:rPr>
              <w:t>、对违反赛场纪律的处分办法按中国橄榄球协会有关规定执行</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sz w:val="32"/>
                <w:szCs w:val="32"/>
              </w:rPr>
              <w:t>十</w:t>
            </w:r>
            <w:r>
              <w:rPr>
                <w:rFonts w:hint="eastAsia" w:ascii="Times New Roman" w:hAnsi="Times New Roman" w:eastAsia="仿宋"/>
                <w:b/>
                <w:sz w:val="32"/>
                <w:szCs w:val="32"/>
                <w:lang w:val="en-US" w:eastAsia="zh-CN"/>
              </w:rPr>
              <w:t>七</w:t>
            </w:r>
            <w:r>
              <w:rPr>
                <w:rFonts w:hint="eastAsia" w:ascii="Times New Roman" w:hAnsi="Times New Roman" w:eastAsia="仿宋"/>
                <w:b/>
                <w:sz w:val="32"/>
                <w:szCs w:val="32"/>
              </w:rPr>
              <w:t>、兴奋剂检查、血液检查、性别检查等按照国家体育总局相关规定执行</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sz w:val="32"/>
                <w:szCs w:val="32"/>
                <w:lang w:val="en-US" w:eastAsia="zh-CN"/>
              </w:rPr>
              <w:t>十八</w:t>
            </w:r>
            <w:r>
              <w:rPr>
                <w:rFonts w:hint="eastAsia" w:ascii="Times New Roman" w:hAnsi="Times New Roman" w:eastAsia="仿宋"/>
                <w:b/>
                <w:sz w:val="32"/>
                <w:szCs w:val="32"/>
              </w:rPr>
              <w:t>、未尽事宜，另行通知</w:t>
            </w:r>
          </w:p>
          <w:p>
            <w:pPr>
              <w:tabs>
                <w:tab w:val="left" w:pos="600"/>
              </w:tabs>
              <w:spacing w:line="480" w:lineRule="exact"/>
              <w:ind w:firstLine="643" w:firstLineChars="200"/>
              <w:rPr>
                <w:rFonts w:hint="default" w:ascii="Times New Roman" w:hAnsi="Times New Roman" w:eastAsia="仿宋"/>
                <w:b/>
                <w:sz w:val="32"/>
                <w:szCs w:val="32"/>
                <w:lang w:val="en-US" w:eastAsia="zh-CN"/>
              </w:rPr>
            </w:pPr>
            <w:r>
              <w:rPr>
                <w:rFonts w:hint="eastAsia" w:ascii="Times New Roman" w:hAnsi="Times New Roman" w:eastAsia="仿宋"/>
                <w:b/>
                <w:sz w:val="32"/>
                <w:szCs w:val="32"/>
                <w:lang w:val="en-US" w:eastAsia="zh-CN"/>
              </w:rPr>
              <w:t>十九</w:t>
            </w:r>
            <w:r>
              <w:rPr>
                <w:rFonts w:hint="eastAsia" w:ascii="Times New Roman" w:hAnsi="Times New Roman" w:eastAsia="仿宋"/>
                <w:b/>
                <w:sz w:val="32"/>
                <w:szCs w:val="32"/>
              </w:rPr>
              <w:t>、本竞赛规程最终解释权归中国橄榄球协会</w:t>
            </w:r>
          </w:p>
        </w:tc>
      </w:tr>
    </w:tbl>
    <w:p>
      <w:pPr>
        <w:spacing w:line="460" w:lineRule="exact"/>
        <w:ind w:right="-1"/>
        <w:rPr>
          <w:rFonts w:ascii="Times New Roman" w:hAnsi="Times New Roman" w:eastAsia="仿宋"/>
          <w:b/>
          <w:sz w:val="20"/>
        </w:rPr>
      </w:pPr>
    </w:p>
    <w:sectPr>
      <w:footerReference r:id="rId3" w:type="default"/>
      <w:pgSz w:w="11906" w:h="16838"/>
      <w:pgMar w:top="1418" w:right="1701" w:bottom="1418" w:left="170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2158380"/>
    </w:sdtPr>
    <w:sdtEndPr>
      <w:rPr>
        <w:rFonts w:ascii="Times New Roman" w:hAnsi="Times New Roman" w:cs="Times New Roman"/>
      </w:rPr>
    </w:sdtEndPr>
    <w:sdtContent>
      <w:sdt>
        <w:sdtPr>
          <w:id w:val="1728636285"/>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bCs/>
                <w:sz w:val="24"/>
                <w:szCs w:val="24"/>
              </w:rPr>
              <w:fldChar w:fldCharType="begin"/>
            </w:r>
            <w:r>
              <w:rPr>
                <w:rFonts w:ascii="Times New Roman" w:hAnsi="Times New Roman" w:cs="Times New Roman"/>
                <w:bCs/>
              </w:rPr>
              <w:instrText xml:space="preserve">PAGE</w:instrText>
            </w:r>
            <w:r>
              <w:rPr>
                <w:rFonts w:ascii="Times New Roman" w:hAnsi="Times New Roman" w:cs="Times New Roman"/>
                <w:bCs/>
                <w:sz w:val="24"/>
                <w:szCs w:val="24"/>
              </w:rPr>
              <w:fldChar w:fldCharType="separate"/>
            </w:r>
            <w:r>
              <w:rPr>
                <w:rFonts w:ascii="Times New Roman" w:hAnsi="Times New Roman" w:cs="Times New Roman"/>
                <w:bCs/>
                <w:lang w:val="zh-CN"/>
              </w:rPr>
              <w:t>2</w:t>
            </w:r>
            <w:r>
              <w:rPr>
                <w:rFonts w:ascii="Times New Roman" w:hAnsi="Times New Roman" w:cs="Times New Roman"/>
                <w:bCs/>
                <w:sz w:val="24"/>
                <w:szCs w:val="24"/>
              </w:rPr>
              <w:fldChar w:fldCharType="end"/>
            </w:r>
            <w:r>
              <w:rPr>
                <w:rFonts w:ascii="Times New Roman" w:hAnsi="Times New Roman" w:cs="Times New Roman"/>
                <w:lang w:val="zh-CN"/>
              </w:rPr>
              <w:t xml:space="preserve"> / </w:t>
            </w:r>
            <w:r>
              <w:rPr>
                <w:rFonts w:ascii="Times New Roman" w:hAnsi="Times New Roman" w:cs="Times New Roman"/>
                <w:bCs/>
                <w:sz w:val="24"/>
                <w:szCs w:val="24"/>
              </w:rPr>
              <w:fldChar w:fldCharType="begin"/>
            </w:r>
            <w:r>
              <w:rPr>
                <w:rFonts w:ascii="Times New Roman" w:hAnsi="Times New Roman" w:cs="Times New Roman"/>
                <w:bCs/>
              </w:rPr>
              <w:instrText xml:space="preserve">NUMPAGES</w:instrText>
            </w:r>
            <w:r>
              <w:rPr>
                <w:rFonts w:ascii="Times New Roman" w:hAnsi="Times New Roman" w:cs="Times New Roman"/>
                <w:bCs/>
                <w:sz w:val="24"/>
                <w:szCs w:val="24"/>
              </w:rPr>
              <w:fldChar w:fldCharType="separate"/>
            </w:r>
            <w:r>
              <w:rPr>
                <w:rFonts w:ascii="Times New Roman" w:hAnsi="Times New Roman" w:cs="Times New Roman"/>
                <w:bCs/>
                <w:lang w:val="zh-CN"/>
              </w:rPr>
              <w:t>2</w:t>
            </w:r>
            <w:r>
              <w:rPr>
                <w:rFonts w:ascii="Times New Roman" w:hAnsi="Times New Roman" w:cs="Times New Roman"/>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98C36"/>
    <w:multiLevelType w:val="singleLevel"/>
    <w:tmpl w:val="82098C36"/>
    <w:lvl w:ilvl="0" w:tentative="0">
      <w:start w:val="1"/>
      <w:numFmt w:val="chineseCounting"/>
      <w:suff w:val="nothing"/>
      <w:lvlText w:val="（%1）"/>
      <w:lvlJc w:val="left"/>
      <w:pPr>
        <w:ind w:left="0" w:firstLine="420"/>
      </w:pPr>
      <w:rPr>
        <w:rFonts w:hint="eastAsia"/>
      </w:rPr>
    </w:lvl>
  </w:abstractNum>
  <w:abstractNum w:abstractNumId="1">
    <w:nsid w:val="B1280A3D"/>
    <w:multiLevelType w:val="singleLevel"/>
    <w:tmpl w:val="B1280A3D"/>
    <w:lvl w:ilvl="0" w:tentative="0">
      <w:start w:val="1"/>
      <w:numFmt w:val="decimal"/>
      <w:lvlText w:val="%1."/>
      <w:lvlJc w:val="left"/>
      <w:pPr>
        <w:tabs>
          <w:tab w:val="left" w:pos="312"/>
        </w:tabs>
      </w:pPr>
    </w:lvl>
  </w:abstractNum>
  <w:abstractNum w:abstractNumId="2">
    <w:nsid w:val="0D4F451F"/>
    <w:multiLevelType w:val="multilevel"/>
    <w:tmpl w:val="0D4F451F"/>
    <w:lvl w:ilvl="0" w:tentative="0">
      <w:start w:val="1"/>
      <w:numFmt w:val="chineseCountingThousand"/>
      <w:suff w:val="nothing"/>
      <w:lvlText w:val="（%1）"/>
      <w:lvlJc w:val="left"/>
      <w:pPr>
        <w:ind w:left="1053" w:hanging="420"/>
      </w:pPr>
      <w:rPr>
        <w:rFonts w:hint="eastAsia"/>
      </w:rPr>
    </w:lvl>
    <w:lvl w:ilvl="1" w:tentative="0">
      <w:start w:val="1"/>
      <w:numFmt w:val="lowerLetter"/>
      <w:lvlText w:val="%2)"/>
      <w:lvlJc w:val="left"/>
      <w:pPr>
        <w:ind w:left="1473" w:hanging="420"/>
      </w:pPr>
      <w:rPr>
        <w:rFonts w:hint="eastAsia"/>
      </w:rPr>
    </w:lvl>
    <w:lvl w:ilvl="2" w:tentative="0">
      <w:start w:val="1"/>
      <w:numFmt w:val="lowerRoman"/>
      <w:lvlText w:val="%3."/>
      <w:lvlJc w:val="right"/>
      <w:pPr>
        <w:ind w:left="1893" w:hanging="420"/>
      </w:pPr>
      <w:rPr>
        <w:rFonts w:hint="eastAsia"/>
      </w:rPr>
    </w:lvl>
    <w:lvl w:ilvl="3" w:tentative="0">
      <w:start w:val="1"/>
      <w:numFmt w:val="decimal"/>
      <w:lvlText w:val="%4."/>
      <w:lvlJc w:val="left"/>
      <w:pPr>
        <w:ind w:left="2313" w:hanging="420"/>
      </w:pPr>
      <w:rPr>
        <w:rFonts w:hint="eastAsia"/>
      </w:rPr>
    </w:lvl>
    <w:lvl w:ilvl="4" w:tentative="0">
      <w:start w:val="1"/>
      <w:numFmt w:val="lowerLetter"/>
      <w:lvlText w:val="%5)"/>
      <w:lvlJc w:val="left"/>
      <w:pPr>
        <w:ind w:left="2733" w:hanging="420"/>
      </w:pPr>
      <w:rPr>
        <w:rFonts w:hint="eastAsia"/>
      </w:rPr>
    </w:lvl>
    <w:lvl w:ilvl="5" w:tentative="0">
      <w:start w:val="1"/>
      <w:numFmt w:val="lowerRoman"/>
      <w:lvlText w:val="%6."/>
      <w:lvlJc w:val="right"/>
      <w:pPr>
        <w:ind w:left="3153" w:hanging="420"/>
      </w:pPr>
      <w:rPr>
        <w:rFonts w:hint="eastAsia"/>
      </w:rPr>
    </w:lvl>
    <w:lvl w:ilvl="6" w:tentative="0">
      <w:start w:val="1"/>
      <w:numFmt w:val="decimal"/>
      <w:lvlText w:val="%7."/>
      <w:lvlJc w:val="left"/>
      <w:pPr>
        <w:ind w:left="3573" w:hanging="420"/>
      </w:pPr>
      <w:rPr>
        <w:rFonts w:hint="eastAsia"/>
      </w:rPr>
    </w:lvl>
    <w:lvl w:ilvl="7" w:tentative="0">
      <w:start w:val="1"/>
      <w:numFmt w:val="lowerLetter"/>
      <w:lvlText w:val="%8)"/>
      <w:lvlJc w:val="left"/>
      <w:pPr>
        <w:ind w:left="3993" w:hanging="420"/>
      </w:pPr>
      <w:rPr>
        <w:rFonts w:hint="eastAsia"/>
      </w:rPr>
    </w:lvl>
    <w:lvl w:ilvl="8" w:tentative="0">
      <w:start w:val="1"/>
      <w:numFmt w:val="lowerRoman"/>
      <w:lvlText w:val="%9."/>
      <w:lvlJc w:val="right"/>
      <w:pPr>
        <w:ind w:left="4413" w:hanging="420"/>
      </w:pPr>
      <w:rPr>
        <w:rFonts w:hint="eastAsia"/>
      </w:rPr>
    </w:lvl>
  </w:abstractNum>
  <w:abstractNum w:abstractNumId="3">
    <w:nsid w:val="274A6887"/>
    <w:multiLevelType w:val="singleLevel"/>
    <w:tmpl w:val="274A6887"/>
    <w:lvl w:ilvl="0" w:tentative="0">
      <w:start w:val="7"/>
      <w:numFmt w:val="chineseCounting"/>
      <w:suff w:val="nothing"/>
      <w:lvlText w:val="%1、"/>
      <w:lvlJc w:val="left"/>
      <w:rPr>
        <w:rFonts w:hint="eastAsia"/>
      </w:rPr>
    </w:lvl>
  </w:abstractNum>
  <w:abstractNum w:abstractNumId="4">
    <w:nsid w:val="2D0B2818"/>
    <w:multiLevelType w:val="multilevel"/>
    <w:tmpl w:val="2D0B281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chineseCountingThousand"/>
      <w:suff w:val="nothing"/>
      <w:lvlText w:val="（%3）"/>
      <w:lvlJc w:val="left"/>
      <w:pPr>
        <w:ind w:left="1413" w:hanging="420"/>
      </w:pPr>
      <w:rPr>
        <w:rFonts w:hint="eastAsia"/>
        <w:b w:val="0"/>
        <w:lang w:val="en-US"/>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69419D"/>
    <w:rsid w:val="000140F3"/>
    <w:rsid w:val="00014A81"/>
    <w:rsid w:val="0003648C"/>
    <w:rsid w:val="000532F1"/>
    <w:rsid w:val="000836BD"/>
    <w:rsid w:val="000A6ED5"/>
    <w:rsid w:val="000C5296"/>
    <w:rsid w:val="001855FD"/>
    <w:rsid w:val="0018595A"/>
    <w:rsid w:val="001939D6"/>
    <w:rsid w:val="002008BA"/>
    <w:rsid w:val="0020278B"/>
    <w:rsid w:val="00221E51"/>
    <w:rsid w:val="00231E70"/>
    <w:rsid w:val="00232BDD"/>
    <w:rsid w:val="00237927"/>
    <w:rsid w:val="002422A6"/>
    <w:rsid w:val="0026141E"/>
    <w:rsid w:val="00261C7E"/>
    <w:rsid w:val="00263D88"/>
    <w:rsid w:val="0026428F"/>
    <w:rsid w:val="00270FEA"/>
    <w:rsid w:val="0028559C"/>
    <w:rsid w:val="00295EC7"/>
    <w:rsid w:val="002C7628"/>
    <w:rsid w:val="002E6E96"/>
    <w:rsid w:val="00303EA5"/>
    <w:rsid w:val="00304427"/>
    <w:rsid w:val="003130D1"/>
    <w:rsid w:val="003153B9"/>
    <w:rsid w:val="0032143F"/>
    <w:rsid w:val="00347AE4"/>
    <w:rsid w:val="00352551"/>
    <w:rsid w:val="00376D69"/>
    <w:rsid w:val="003820AC"/>
    <w:rsid w:val="003920D9"/>
    <w:rsid w:val="0039485F"/>
    <w:rsid w:val="003B3B79"/>
    <w:rsid w:val="003B5B95"/>
    <w:rsid w:val="003C3002"/>
    <w:rsid w:val="00412148"/>
    <w:rsid w:val="0041249B"/>
    <w:rsid w:val="00421327"/>
    <w:rsid w:val="0042644D"/>
    <w:rsid w:val="00433531"/>
    <w:rsid w:val="004369A8"/>
    <w:rsid w:val="00450973"/>
    <w:rsid w:val="00453B53"/>
    <w:rsid w:val="004726C9"/>
    <w:rsid w:val="004814E1"/>
    <w:rsid w:val="00487F44"/>
    <w:rsid w:val="0049006F"/>
    <w:rsid w:val="004A2ADE"/>
    <w:rsid w:val="004A3317"/>
    <w:rsid w:val="004C562D"/>
    <w:rsid w:val="004D1F0F"/>
    <w:rsid w:val="004F72F8"/>
    <w:rsid w:val="00514A8E"/>
    <w:rsid w:val="00530511"/>
    <w:rsid w:val="005316C8"/>
    <w:rsid w:val="00543D6A"/>
    <w:rsid w:val="00564352"/>
    <w:rsid w:val="00567E11"/>
    <w:rsid w:val="00580444"/>
    <w:rsid w:val="005832E6"/>
    <w:rsid w:val="00584D4A"/>
    <w:rsid w:val="0059548C"/>
    <w:rsid w:val="005A391B"/>
    <w:rsid w:val="005A49B4"/>
    <w:rsid w:val="005A4EB5"/>
    <w:rsid w:val="005B5E00"/>
    <w:rsid w:val="005B69D5"/>
    <w:rsid w:val="005C1A7D"/>
    <w:rsid w:val="00612A85"/>
    <w:rsid w:val="006368A6"/>
    <w:rsid w:val="00646CA1"/>
    <w:rsid w:val="00653C1B"/>
    <w:rsid w:val="006808EA"/>
    <w:rsid w:val="0069032C"/>
    <w:rsid w:val="006959D0"/>
    <w:rsid w:val="006C72DB"/>
    <w:rsid w:val="006F6E53"/>
    <w:rsid w:val="00706911"/>
    <w:rsid w:val="00710828"/>
    <w:rsid w:val="00726C33"/>
    <w:rsid w:val="007431D1"/>
    <w:rsid w:val="00765B02"/>
    <w:rsid w:val="00771759"/>
    <w:rsid w:val="00775BE6"/>
    <w:rsid w:val="007870BC"/>
    <w:rsid w:val="007960F2"/>
    <w:rsid w:val="007A4716"/>
    <w:rsid w:val="007E4883"/>
    <w:rsid w:val="00825A59"/>
    <w:rsid w:val="00834CDC"/>
    <w:rsid w:val="0083660A"/>
    <w:rsid w:val="00845832"/>
    <w:rsid w:val="0084766D"/>
    <w:rsid w:val="00850D03"/>
    <w:rsid w:val="008615A5"/>
    <w:rsid w:val="00896F23"/>
    <w:rsid w:val="00897097"/>
    <w:rsid w:val="008B68A0"/>
    <w:rsid w:val="008C0F4F"/>
    <w:rsid w:val="008D091D"/>
    <w:rsid w:val="008E4677"/>
    <w:rsid w:val="008E7C07"/>
    <w:rsid w:val="00915EE1"/>
    <w:rsid w:val="0092773F"/>
    <w:rsid w:val="00933B51"/>
    <w:rsid w:val="00940C65"/>
    <w:rsid w:val="00944B37"/>
    <w:rsid w:val="0097360A"/>
    <w:rsid w:val="009773D8"/>
    <w:rsid w:val="00980594"/>
    <w:rsid w:val="00993716"/>
    <w:rsid w:val="00995DF1"/>
    <w:rsid w:val="009A3ABB"/>
    <w:rsid w:val="009A4942"/>
    <w:rsid w:val="009B1AEF"/>
    <w:rsid w:val="009B5F8E"/>
    <w:rsid w:val="009D5F72"/>
    <w:rsid w:val="009F6331"/>
    <w:rsid w:val="00A01282"/>
    <w:rsid w:val="00A11017"/>
    <w:rsid w:val="00A722D4"/>
    <w:rsid w:val="00A933F6"/>
    <w:rsid w:val="00A95478"/>
    <w:rsid w:val="00A975B9"/>
    <w:rsid w:val="00AA1D87"/>
    <w:rsid w:val="00AD6A49"/>
    <w:rsid w:val="00AF026C"/>
    <w:rsid w:val="00AF3525"/>
    <w:rsid w:val="00B017E4"/>
    <w:rsid w:val="00B034F5"/>
    <w:rsid w:val="00B171F9"/>
    <w:rsid w:val="00B25132"/>
    <w:rsid w:val="00B54754"/>
    <w:rsid w:val="00B628BA"/>
    <w:rsid w:val="00B6326C"/>
    <w:rsid w:val="00B67650"/>
    <w:rsid w:val="00B70EF9"/>
    <w:rsid w:val="00B87187"/>
    <w:rsid w:val="00B907CB"/>
    <w:rsid w:val="00B9473F"/>
    <w:rsid w:val="00B96AFA"/>
    <w:rsid w:val="00BA5BB1"/>
    <w:rsid w:val="00BB0F27"/>
    <w:rsid w:val="00BB26FB"/>
    <w:rsid w:val="00BB4D00"/>
    <w:rsid w:val="00BD0A57"/>
    <w:rsid w:val="00BD2452"/>
    <w:rsid w:val="00BE0B7D"/>
    <w:rsid w:val="00BE124D"/>
    <w:rsid w:val="00BE63F3"/>
    <w:rsid w:val="00C11851"/>
    <w:rsid w:val="00C21DC1"/>
    <w:rsid w:val="00C24E18"/>
    <w:rsid w:val="00C408B6"/>
    <w:rsid w:val="00C55167"/>
    <w:rsid w:val="00C6262D"/>
    <w:rsid w:val="00CC5D72"/>
    <w:rsid w:val="00CE52A3"/>
    <w:rsid w:val="00CE77BE"/>
    <w:rsid w:val="00CF50B3"/>
    <w:rsid w:val="00D1353A"/>
    <w:rsid w:val="00D22F66"/>
    <w:rsid w:val="00D2622E"/>
    <w:rsid w:val="00D3327C"/>
    <w:rsid w:val="00D56718"/>
    <w:rsid w:val="00D70B67"/>
    <w:rsid w:val="00D74E3B"/>
    <w:rsid w:val="00D93318"/>
    <w:rsid w:val="00DA0C53"/>
    <w:rsid w:val="00DB7B14"/>
    <w:rsid w:val="00DE78DA"/>
    <w:rsid w:val="00E00A0C"/>
    <w:rsid w:val="00E16A71"/>
    <w:rsid w:val="00E3054D"/>
    <w:rsid w:val="00E80004"/>
    <w:rsid w:val="00E806F5"/>
    <w:rsid w:val="00E84876"/>
    <w:rsid w:val="00EA3B11"/>
    <w:rsid w:val="00EB4E5D"/>
    <w:rsid w:val="00ED78C9"/>
    <w:rsid w:val="00EE72F8"/>
    <w:rsid w:val="00EF52B3"/>
    <w:rsid w:val="00F02A37"/>
    <w:rsid w:val="00F17C42"/>
    <w:rsid w:val="00F2279D"/>
    <w:rsid w:val="00F23AD0"/>
    <w:rsid w:val="00F344EB"/>
    <w:rsid w:val="00F440E7"/>
    <w:rsid w:val="00F72955"/>
    <w:rsid w:val="00F86E09"/>
    <w:rsid w:val="00FB48A3"/>
    <w:rsid w:val="014F2CF0"/>
    <w:rsid w:val="0162658A"/>
    <w:rsid w:val="017B4B50"/>
    <w:rsid w:val="01CC5D86"/>
    <w:rsid w:val="022D2CF7"/>
    <w:rsid w:val="0236714C"/>
    <w:rsid w:val="024667B4"/>
    <w:rsid w:val="02F6352D"/>
    <w:rsid w:val="044C1C9B"/>
    <w:rsid w:val="049C29D1"/>
    <w:rsid w:val="05637EC0"/>
    <w:rsid w:val="06EB1002"/>
    <w:rsid w:val="06FC081E"/>
    <w:rsid w:val="08104C65"/>
    <w:rsid w:val="081B261E"/>
    <w:rsid w:val="0A5F7AE5"/>
    <w:rsid w:val="0AC87CF8"/>
    <w:rsid w:val="0B1B4A64"/>
    <w:rsid w:val="0BAA44A5"/>
    <w:rsid w:val="0BEA0056"/>
    <w:rsid w:val="0D370C4D"/>
    <w:rsid w:val="0D86432C"/>
    <w:rsid w:val="0E327687"/>
    <w:rsid w:val="0F493404"/>
    <w:rsid w:val="12D8194B"/>
    <w:rsid w:val="14805794"/>
    <w:rsid w:val="14EF6168"/>
    <w:rsid w:val="15D42540"/>
    <w:rsid w:val="17804CCE"/>
    <w:rsid w:val="17A05249"/>
    <w:rsid w:val="18123771"/>
    <w:rsid w:val="19840B89"/>
    <w:rsid w:val="1C6B4C9A"/>
    <w:rsid w:val="1F3F404F"/>
    <w:rsid w:val="1FCF5ADB"/>
    <w:rsid w:val="20DC17B6"/>
    <w:rsid w:val="20E27521"/>
    <w:rsid w:val="21E91A3F"/>
    <w:rsid w:val="22CF5FF9"/>
    <w:rsid w:val="23EC393C"/>
    <w:rsid w:val="240C36C0"/>
    <w:rsid w:val="248B16B2"/>
    <w:rsid w:val="2552184A"/>
    <w:rsid w:val="25770582"/>
    <w:rsid w:val="267D62D3"/>
    <w:rsid w:val="27F03D21"/>
    <w:rsid w:val="298954A7"/>
    <w:rsid w:val="2A161A27"/>
    <w:rsid w:val="2A193AB5"/>
    <w:rsid w:val="2A480FED"/>
    <w:rsid w:val="2ED111C1"/>
    <w:rsid w:val="2F1D5D60"/>
    <w:rsid w:val="30852B80"/>
    <w:rsid w:val="31042398"/>
    <w:rsid w:val="32080D65"/>
    <w:rsid w:val="326D1C02"/>
    <w:rsid w:val="332D7DF8"/>
    <w:rsid w:val="33C12D45"/>
    <w:rsid w:val="34535F6C"/>
    <w:rsid w:val="359B0293"/>
    <w:rsid w:val="379F729F"/>
    <w:rsid w:val="396431FC"/>
    <w:rsid w:val="3A872EAA"/>
    <w:rsid w:val="3BB22839"/>
    <w:rsid w:val="3BFF0584"/>
    <w:rsid w:val="3C6F5636"/>
    <w:rsid w:val="3CCD5CA9"/>
    <w:rsid w:val="3D882F1F"/>
    <w:rsid w:val="3E1C440D"/>
    <w:rsid w:val="3FAB4890"/>
    <w:rsid w:val="40764358"/>
    <w:rsid w:val="4090704E"/>
    <w:rsid w:val="42151A84"/>
    <w:rsid w:val="451E3E5F"/>
    <w:rsid w:val="46872C53"/>
    <w:rsid w:val="47055DB6"/>
    <w:rsid w:val="477A707B"/>
    <w:rsid w:val="48BE6852"/>
    <w:rsid w:val="4B5E26D2"/>
    <w:rsid w:val="4BDC08FB"/>
    <w:rsid w:val="4C9F54E2"/>
    <w:rsid w:val="4DDF31C1"/>
    <w:rsid w:val="4EA01857"/>
    <w:rsid w:val="4EAE11E6"/>
    <w:rsid w:val="4EB93DE9"/>
    <w:rsid w:val="528159D3"/>
    <w:rsid w:val="52A54F20"/>
    <w:rsid w:val="54367B7F"/>
    <w:rsid w:val="54E83810"/>
    <w:rsid w:val="5507329D"/>
    <w:rsid w:val="556E7FAB"/>
    <w:rsid w:val="55E13916"/>
    <w:rsid w:val="57020A28"/>
    <w:rsid w:val="5761085D"/>
    <w:rsid w:val="5775737A"/>
    <w:rsid w:val="58436AFE"/>
    <w:rsid w:val="59CD082E"/>
    <w:rsid w:val="5A485BBB"/>
    <w:rsid w:val="5A906496"/>
    <w:rsid w:val="5D4171D5"/>
    <w:rsid w:val="5F6306A7"/>
    <w:rsid w:val="5FBE004A"/>
    <w:rsid w:val="676B2FF9"/>
    <w:rsid w:val="682C3CEF"/>
    <w:rsid w:val="68435DEC"/>
    <w:rsid w:val="68581F08"/>
    <w:rsid w:val="68965375"/>
    <w:rsid w:val="69B53A5C"/>
    <w:rsid w:val="6C85740D"/>
    <w:rsid w:val="6C975789"/>
    <w:rsid w:val="6CB63073"/>
    <w:rsid w:val="6DAE2CFB"/>
    <w:rsid w:val="6ED41B9C"/>
    <w:rsid w:val="70F96035"/>
    <w:rsid w:val="712D12A8"/>
    <w:rsid w:val="714F702C"/>
    <w:rsid w:val="715F6330"/>
    <w:rsid w:val="735D517C"/>
    <w:rsid w:val="73F91F5B"/>
    <w:rsid w:val="75877A89"/>
    <w:rsid w:val="77CF54E0"/>
    <w:rsid w:val="781D5C9E"/>
    <w:rsid w:val="788C143F"/>
    <w:rsid w:val="79346AF9"/>
    <w:rsid w:val="7969419D"/>
    <w:rsid w:val="7A5C0123"/>
    <w:rsid w:val="7C004342"/>
    <w:rsid w:val="7C5C1E1C"/>
    <w:rsid w:val="7C6E4C89"/>
    <w:rsid w:val="7D190EFD"/>
    <w:rsid w:val="7D367BF6"/>
    <w:rsid w:val="7DCC22D5"/>
    <w:rsid w:val="7F124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1"/>
    <w:qFormat/>
    <w:uiPriority w:val="0"/>
    <w:rPr>
      <w:rFonts w:cs="Times New Roman"/>
      <w:sz w:val="18"/>
      <w:szCs w:val="18"/>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7"/>
    <w:qFormat/>
    <w:uiPriority w:val="0"/>
    <w:rPr>
      <w:b/>
      <w:bCs/>
    </w:rPr>
  </w:style>
  <w:style w:type="character" w:styleId="9">
    <w:name w:val="Hyperlink"/>
    <w:qFormat/>
    <w:uiPriority w:val="0"/>
    <w:rPr>
      <w:color w:val="0000FF"/>
      <w:u w:val="single"/>
    </w:rPr>
  </w:style>
  <w:style w:type="character" w:styleId="10">
    <w:name w:val="annotation reference"/>
    <w:basedOn w:val="8"/>
    <w:qFormat/>
    <w:uiPriority w:val="0"/>
    <w:rPr>
      <w:sz w:val="21"/>
      <w:szCs w:val="21"/>
    </w:rPr>
  </w:style>
  <w:style w:type="character" w:customStyle="1" w:styleId="11">
    <w:name w:val="批注框文本 字符"/>
    <w:link w:val="3"/>
    <w:qFormat/>
    <w:uiPriority w:val="0"/>
    <w:rPr>
      <w:rFonts w:cs="黑体"/>
      <w:kern w:val="2"/>
      <w:sz w:val="18"/>
      <w:szCs w:val="18"/>
    </w:rPr>
  </w:style>
  <w:style w:type="paragraph" w:styleId="12">
    <w:name w:val="List Paragraph"/>
    <w:basedOn w:val="1"/>
    <w:qFormat/>
    <w:uiPriority w:val="34"/>
    <w:pPr>
      <w:ind w:firstLine="420" w:firstLineChars="200"/>
    </w:pPr>
  </w:style>
  <w:style w:type="character" w:customStyle="1" w:styleId="13">
    <w:name w:val="未处理的提及1"/>
    <w:basedOn w:val="8"/>
    <w:semiHidden/>
    <w:unhideWhenUsed/>
    <w:qFormat/>
    <w:uiPriority w:val="99"/>
    <w:rPr>
      <w:color w:val="808080"/>
      <w:shd w:val="clear" w:color="auto" w:fill="E6E6E6"/>
    </w:rPr>
  </w:style>
  <w:style w:type="character" w:customStyle="1" w:styleId="14">
    <w:name w:val="页脚 字符"/>
    <w:basedOn w:val="8"/>
    <w:link w:val="4"/>
    <w:qFormat/>
    <w:uiPriority w:val="99"/>
    <w:rPr>
      <w:rFonts w:cs="黑体"/>
      <w:kern w:val="2"/>
      <w:sz w:val="18"/>
      <w:szCs w:val="22"/>
    </w:rPr>
  </w:style>
  <w:style w:type="paragraph" w:customStyle="1" w:styleId="15">
    <w:name w:val="列出段落1"/>
    <w:basedOn w:val="1"/>
    <w:qFormat/>
    <w:uiPriority w:val="34"/>
    <w:pPr>
      <w:ind w:firstLine="420" w:firstLineChars="200"/>
    </w:pPr>
  </w:style>
  <w:style w:type="character" w:customStyle="1" w:styleId="16">
    <w:name w:val="批注文字 字符"/>
    <w:basedOn w:val="8"/>
    <w:link w:val="2"/>
    <w:qFormat/>
    <w:uiPriority w:val="0"/>
    <w:rPr>
      <w:rFonts w:ascii="Calibri" w:hAnsi="Calibri" w:cs="黑体"/>
      <w:kern w:val="2"/>
      <w:sz w:val="21"/>
      <w:szCs w:val="22"/>
    </w:rPr>
  </w:style>
  <w:style w:type="character" w:customStyle="1" w:styleId="17">
    <w:name w:val="批注主题 字符"/>
    <w:basedOn w:val="16"/>
    <w:link w:val="6"/>
    <w:qFormat/>
    <w:uiPriority w:val="0"/>
    <w:rPr>
      <w:rFonts w:ascii="Calibri" w:hAnsi="Calibri" w:cs="黑体"/>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718</Words>
  <Characters>4093</Characters>
  <Lines>34</Lines>
  <Paragraphs>9</Paragraphs>
  <TotalTime>60</TotalTime>
  <ScaleCrop>false</ScaleCrop>
  <LinksUpToDate>false</LinksUpToDate>
  <CharactersWithSpaces>4802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2018-04-12T04:11:00Z</dcterms:created>
  <dc:creator>user</dc:creator>
  <cp:lastModifiedBy>xiell</cp:lastModifiedBy>
  <cp:lastPrinted>2019-08-30T03:21:28Z</cp:lastPrinted>
  <dcterms:modified xsi:type="dcterms:W3CDTF">2019-08-30T04:26:10Z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