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国家射击队、国家射箭队无形资产</w:t>
      </w:r>
      <w:bookmarkStart w:id="0" w:name="_GoBack"/>
      <w:r>
        <w:rPr>
          <w:rFonts w:hint="eastAsia" w:ascii="方正小标宋_GBK" w:hAnsi="仿宋" w:eastAsia="方正小标宋_GBK"/>
          <w:sz w:val="40"/>
          <w:szCs w:val="40"/>
        </w:rPr>
        <w:t>推介方案</w:t>
      </w:r>
      <w:bookmarkEnd w:id="0"/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一、队伍介绍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（一）国家射击队（含国家飞碟射击队）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射击项目是中国的传统优势项目，1984年以来，中国射击先后有18名运动员夺得了22枚奥运会金牌，占中国代表团奥运会金牌总数的10%左右，为中国体育发展做出了突出贡献。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1984年，中国射击运动员许海峰一声枪响，为中国奥运会代表团夺得第一块金牌，实现了中国奥运史上“零的突破”。1992年巴塞罗那奥运会，中国飞碟射击运动员张山巾帼不让须眉，在男女同场竞技中，力克群雄，获得金牌，创造了一段奥运佳话。2008年北京奥运会上，中国射击队一举夺得5枚金牌，傲居射击金牌榜首位，也为中国奥运军团贡献了北京奥运会10%的金牌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1984年许海峰夺得了该届奥运会的首金，在1984年—2016年9届奥运会中，中国射击运动员夺得了5届奥运会的首金，被誉为中国奥运军团的“开路先锋”。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东京奥运会周期，射击项目被国家体育总局列为奥运直通车项目，得到高度重视和重点保障。为备战东京奥运会，中国射击举国同心，刻苦训练，实力和水平都有大幅提升，本周期年度金牌总数处于前茅，国家射击队在世界杯以上比赛中共获得了25金37银35铜，在2018年亚运会的奥运会项目上，中国国家射击队获得6金，占亚运会奥项金牌总数的60%。目前，中国国家射击队已经获得18个奥运会席位（每个国家最多可以夺得20个席位，1个席位可以参加2个以上项目），可以全项全员参赛奥运会。国家飞碟射击队已经获得5个奥运会席位，重点项目的席位已经拿到。庞伟、杜丽等奥运冠军依然在队伍中起着引领和带动作用，年轻运动员经历了大赛洗礼，逐步崭露头角，承担起奥运夺金的重任，“黑马”将从这些队员中产生。可以说，本周期国家射击队、国家飞碟射击队将以全新的姿态出征东京奥运会，必将给大家带来新的惊喜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（二）国家射箭队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自1984年以来，中国射箭队在奥运会上共夺得1金6银2铜。在2008年北京奥运会上，张娟娟连续击败3名韩国名将，为中国射箭夺得历史上首枚奥运金牌。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2020东京奥运会周期，中国射箭队牢记使命，砥砺前行，聘请韩国教练，大胆进行改革，取得了优异的成绩。2018年亚运会，张心妍获得反曲弓女子个人项目金牌，弥补了亚运会上中国射箭个人金牌的空缺。同年，小将张梦瑶在青奥会上力克韩国选手夺得金牌；2019年土耳其世界杯上中国队同时获得男子团体和女子个人2块金牌；2019射箭世锦赛中，中国射箭队再接再厉勇夺男团金牌，实现历史性突破，同时中国射箭队一次性夺得2020东京奥运会男女项目满额参赛席位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2020年东京奥运会，中国射箭队将迎战韩国队等世界劲旅，届时将吸引众多国际眼球，我们期待中国射箭队给大家带来不一样的惊喜。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二、合作意义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射击往往是奥运会首枚金牌诞生的项目，2020年东京奥运会中射击仍然是首金项目。在奥运会上，中国射击队多年来一直担负着中国体育代表团“开路先锋”的角色，22枚奥运金牌和近60%的首金夺取率也充分证明了中国射击队较好完成了这一任务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（二）射击射箭是正能量较强的项目。国家射击队（国家飞碟射击队）和国家射箭队整体形象积极向上，与射击射箭国家队合作，有利于赞助产品的展示和合作公司形象的树立。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（三）射击射箭国家队的价值体系符合大多数公司企业的价值定位相符。精益求精、永争第一一直是射击射箭国家队的优良传统，也符合多数公司的理念，双方的合作将给品牌和公司形象带来更多的接受度。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（四）潜在群体广。枪对大众具有天然的吸引力，射击运动潜在受众广，射箭项目是中国传统体育项目，与中国的历史文化紧密相连，两个项目均拥有较大的受众群体，将为合作公司带来一定的关注度。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（五）收视率高。随着东京奥运会的临近，射击射箭项目得到越来越多媒体的关注，国际射联、国际箭联规则也进行了较大改变，比赛正变得直观、激烈、对抗性强，且作为本届奥运会的首金项目，将会得到最大限度的关注。2019年北京射击世界杯收视率达到新高，这使东京奥运会更值得期待。 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三、合作方式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根据赞助金额和享有权益的不同，国家队集体合作采取4个类别的合作方式：战略合作伙伴、合作伙伴、赞助商、供应商。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shd w:val="clear" w:color="auto" w:fill="auto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合作类别</w:t>
            </w:r>
          </w:p>
        </w:tc>
        <w:tc>
          <w:tcPr>
            <w:tcW w:w="2841" w:type="dxa"/>
            <w:shd w:val="clear" w:color="auto" w:fill="auto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协议期限</w:t>
            </w:r>
          </w:p>
        </w:tc>
        <w:tc>
          <w:tcPr>
            <w:tcW w:w="2841" w:type="dxa"/>
            <w:shd w:val="clear" w:color="auto" w:fill="auto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合作对象要求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战略合作伙伴</w:t>
            </w:r>
          </w:p>
        </w:tc>
        <w:tc>
          <w:tcPr>
            <w:tcW w:w="2841" w:type="dxa"/>
            <w:shd w:val="clear" w:color="auto" w:fill="auto"/>
            <w:noWrap w:val="0"/>
            <w:vAlign w:val="top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原则上为4年，特殊情况下最少2年；</w:t>
            </w:r>
          </w:p>
        </w:tc>
        <w:tc>
          <w:tcPr>
            <w:tcW w:w="2841" w:type="dxa"/>
            <w:vMerge w:val="restart"/>
            <w:shd w:val="clear" w:color="auto" w:fill="auto"/>
            <w:noWrap w:val="0"/>
            <w:vAlign w:val="top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企业经济实力强，形象正面，与队伍的整体形象相协调，社会影响较好；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合作伙伴</w:t>
            </w:r>
          </w:p>
        </w:tc>
        <w:tc>
          <w:tcPr>
            <w:tcW w:w="2841" w:type="dxa"/>
            <w:vMerge w:val="restart"/>
            <w:shd w:val="clear" w:color="auto" w:fill="auto"/>
            <w:noWrap w:val="0"/>
            <w:vAlign w:val="top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原则上为2-4年，特殊情况下不少于1年，签署时间较长的企业优先考虑；</w:t>
            </w:r>
          </w:p>
        </w:tc>
        <w:tc>
          <w:tcPr>
            <w:tcW w:w="2841" w:type="dxa"/>
            <w:vMerge w:val="continue"/>
            <w:shd w:val="clear" w:color="auto" w:fill="auto"/>
            <w:noWrap w:val="0"/>
            <w:vAlign w:val="top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赞助商</w:t>
            </w:r>
          </w:p>
        </w:tc>
        <w:tc>
          <w:tcPr>
            <w:tcW w:w="2841" w:type="dxa"/>
            <w:vMerge w:val="continue"/>
            <w:shd w:val="clear" w:color="auto" w:fill="auto"/>
            <w:noWrap w:val="0"/>
            <w:vAlign w:val="top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41" w:type="dxa"/>
            <w:vMerge w:val="continue"/>
            <w:shd w:val="clear" w:color="auto" w:fill="auto"/>
            <w:noWrap w:val="0"/>
            <w:vAlign w:val="top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</w:t>
            </w:r>
          </w:p>
        </w:tc>
        <w:tc>
          <w:tcPr>
            <w:tcW w:w="2841" w:type="dxa"/>
            <w:vMerge w:val="continue"/>
            <w:shd w:val="clear" w:color="auto" w:fill="auto"/>
            <w:noWrap w:val="0"/>
            <w:vAlign w:val="top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41" w:type="dxa"/>
            <w:vMerge w:val="continue"/>
            <w:shd w:val="clear" w:color="auto" w:fill="auto"/>
            <w:noWrap w:val="0"/>
            <w:vAlign w:val="top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四、合作金额及权益面议。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57" w:right="1134" w:bottom="1134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2" w:rightChars="201"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5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2" w:firstLineChars="101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6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042D4"/>
    <w:rsid w:val="3A2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2019-08-22T10:28:00Z</dcterms:created>
  <dc:creator>❤️Chloe M</dc:creator>
  <cp:lastModifiedBy>❤️Chloe M</cp:lastModifiedBy>
  <dcterms:modified xsi:type="dcterms:W3CDTF">2019-08-22T10:28:30Z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