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附件2</w:t>
      </w:r>
    </w:p>
    <w:p>
      <w:pPr>
        <w:spacing w:line="480" w:lineRule="exact"/>
        <w:jc w:val="center"/>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国家飞碟射击队参加2019年卡塔尔射击</w:t>
      </w:r>
    </w:p>
    <w:p>
      <w:pPr>
        <w:spacing w:line="480" w:lineRule="exact"/>
        <w:jc w:val="center"/>
        <w:rPr>
          <w:rFonts w:ascii="华文中宋" w:hAnsi="华文中宋" w:eastAsia="华文中宋"/>
          <w:sz w:val="30"/>
          <w:szCs w:val="30"/>
        </w:rPr>
      </w:pPr>
      <w:r>
        <w:rPr>
          <w:rFonts w:hint="eastAsia" w:ascii="方正小标宋_GBK" w:hAnsi="仿宋" w:eastAsia="方正小标宋_GBK"/>
          <w:sz w:val="40"/>
          <w:szCs w:val="40"/>
        </w:rPr>
        <w:t>亚锦赛青年组参赛运动员选拔体能测试方案</w:t>
      </w:r>
    </w:p>
    <w:p>
      <w:pPr>
        <w:spacing w:line="600" w:lineRule="exact"/>
        <w:ind w:firstLine="600" w:firstLineChars="200"/>
        <w:rPr>
          <w:rFonts w:hint="eastAsia" w:ascii="仿宋" w:hAnsi="仿宋" w:eastAsia="仿宋"/>
          <w:sz w:val="30"/>
          <w:szCs w:val="30"/>
        </w:rPr>
      </w:pP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为落实国家体育总局关于强化国家队</w:t>
      </w:r>
      <w:bookmarkStart w:id="0" w:name="_GoBack"/>
      <w:bookmarkEnd w:id="0"/>
      <w:r>
        <w:rPr>
          <w:rFonts w:hint="eastAsia" w:ascii="仿宋" w:hAnsi="仿宋" w:eastAsia="仿宋"/>
          <w:sz w:val="30"/>
          <w:szCs w:val="30"/>
        </w:rPr>
        <w:t>运动员体能训练的要求，选拔出体能素质达标的运动员。国家飞碟射击队，将体能测试纳入到运动员选拔体系中，作为运动员选拔资格的一项重要指标。</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经研究决定，国家飞碟射击队参加2019年卡塔尔射击亚锦赛青年组选拔范围内的运动员均须进行体能测试，测试次数为一次。在体能测试中总分达到及格标准，方具备选拔资格。具体细则通知如下：</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一、测试时间</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体能测试具体时间待定。测试流程、场地、人员分组和实施细节，将在报到日中进行公布。</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二、测试地点</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国家体育总局射击射箭运动管理中心。</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三、体能测试标准</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（一）测试项目流程与操作说明</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1.双手握力测试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运动员按正常飞碟射击姿势，双手各持握力器，待运动员准备好后，测试人员发出口令后，运动员进行握力测试，待测试结束后，测试人员记录握力器上所显示的数字。握力测试2次，间歇30秒。</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2.10000米跑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让运动员成准备姿势站在起跑线后，脚尖不得越过起跑线，当运动员听到裁判发出跑的口令时，所有运动员同时出发，裁判员开始计时。</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3.站姿旋转抛球</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运动员双脚打开与肩同宽，微屈膝屈髋，双手持药球置于身体的一侧（左侧或右侧），伸膝伸髋，核心旋转向一侧，双手顺势水平抛出药球。每一侧测三次，取左右两侧的最高值后，求双侧平均值，计入最后总得分。</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4.八级腹桥</w:t>
      </w:r>
    </w:p>
    <w:p>
      <w:pPr>
        <w:spacing w:after="156" w:afterLines="50" w:line="600" w:lineRule="exact"/>
        <w:ind w:firstLine="600" w:firstLineChars="200"/>
        <w:rPr>
          <w:rFonts w:hint="eastAsia" w:ascii="仿宋" w:hAnsi="仿宋" w:eastAsia="仿宋"/>
          <w:sz w:val="30"/>
          <w:szCs w:val="30"/>
        </w:rPr>
      </w:pPr>
      <w:r>
        <w:rPr>
          <w:rFonts w:hint="eastAsia" w:ascii="仿宋" w:hAnsi="仿宋" w:eastAsia="仿宋"/>
          <w:sz w:val="30"/>
          <w:szCs w:val="30"/>
        </w:rPr>
        <w:t>八级腹桥测试是既是核心力量与核心稳定性的评定方法也是训练方法的一种，在运动队中很常用。共分为八个测试动作，起始动作为俯卧屈肘撑于地面，完成八个动作共持续3分钟。</w:t>
      </w:r>
    </w:p>
    <w:tbl>
      <w:tblPr>
        <w:tblStyle w:val="2"/>
        <w:tblW w:w="8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7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测试</w:t>
            </w:r>
            <w:r>
              <w:rPr>
                <w:rFonts w:ascii="仿宋" w:hAnsi="仿宋" w:eastAsia="仿宋"/>
                <w:sz w:val="30"/>
                <w:szCs w:val="30"/>
              </w:rPr>
              <w:br w:type="textWrapping"/>
            </w:r>
            <w:r>
              <w:rPr>
                <w:rFonts w:ascii="仿宋" w:hAnsi="仿宋" w:eastAsia="仿宋"/>
                <w:sz w:val="30"/>
                <w:szCs w:val="30"/>
              </w:rPr>
              <w:t>动作</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动作要求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1</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起始动作保持一分钟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2</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在此基础上抬起右手向前平伸，保持15秒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3</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放下右手抬起左手，保持15秒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4</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放下左手，抬起右腿向后平伸，保持15秒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5</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放下右腿，向后平伸左腿，保持15秒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6</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保持左腿平伸，同时抬起右手，保持15秒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7</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放下左腿与右手，然后抬起左手与右腿，保持15秒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jc w:val="center"/>
        </w:trPr>
        <w:tc>
          <w:tcPr>
            <w:tcW w:w="1101"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8</w:t>
            </w:r>
          </w:p>
        </w:tc>
        <w:tc>
          <w:tcPr>
            <w:tcW w:w="7699" w:type="dxa"/>
            <w:shd w:val="clear" w:color="auto" w:fill="auto"/>
            <w:noWrap w:val="0"/>
            <w:tcMar>
              <w:top w:w="15" w:type="dxa"/>
              <w:left w:w="15" w:type="dxa"/>
              <w:right w:w="15" w:type="dxa"/>
            </w:tcMar>
            <w:vAlign w:val="center"/>
          </w:tcPr>
          <w:p>
            <w:pPr>
              <w:widowControl/>
              <w:spacing w:line="520" w:lineRule="exact"/>
              <w:jc w:val="center"/>
              <w:textAlignment w:val="center"/>
              <w:rPr>
                <w:rFonts w:ascii="仿宋" w:hAnsi="仿宋" w:eastAsia="仿宋"/>
                <w:sz w:val="30"/>
                <w:szCs w:val="30"/>
              </w:rPr>
            </w:pPr>
            <w:r>
              <w:rPr>
                <w:rFonts w:ascii="仿宋" w:hAnsi="仿宋" w:eastAsia="仿宋"/>
                <w:sz w:val="30"/>
                <w:szCs w:val="30"/>
              </w:rPr>
              <w:t>回归起始动作保持30秒</w:t>
            </w:r>
          </w:p>
        </w:tc>
      </w:tr>
    </w:tbl>
    <w:p>
      <w:pPr>
        <w:spacing w:after="156" w:afterLines="50" w:line="520" w:lineRule="exact"/>
        <w:jc w:val="center"/>
        <w:rPr>
          <w:rFonts w:hint="eastAsia" w:ascii="仿宋" w:hAnsi="仿宋" w:eastAsia="仿宋"/>
          <w:sz w:val="30"/>
          <w:szCs w:val="30"/>
        </w:rPr>
      </w:pPr>
      <w:r>
        <w:rPr>
          <w:rFonts w:hint="eastAsia" w:ascii="仿宋" w:hAnsi="仿宋" w:eastAsia="仿宋"/>
          <w:sz w:val="30"/>
          <w:szCs w:val="30"/>
        </w:rPr>
        <w:t>表1  八级腹桥测试流程</w:t>
      </w:r>
    </w:p>
    <w:p>
      <w:pPr>
        <w:spacing w:after="156" w:afterLines="50" w:line="520" w:lineRule="exact"/>
        <w:ind w:firstLine="588" w:firstLineChars="196"/>
        <w:jc w:val="center"/>
        <w:rPr>
          <w:rFonts w:hint="eastAsia" w:ascii="仿宋" w:hAnsi="仿宋" w:eastAsia="仿宋"/>
          <w:sz w:val="30"/>
          <w:szCs w:val="30"/>
        </w:rPr>
      </w:pPr>
    </w:p>
    <w:p>
      <w:pPr>
        <w:spacing w:after="156" w:afterLines="50" w:line="520" w:lineRule="exact"/>
        <w:ind w:firstLine="588" w:firstLineChars="196"/>
        <w:jc w:val="center"/>
        <w:rPr>
          <w:rFonts w:ascii="仿宋" w:hAnsi="仿宋" w:eastAsia="仿宋"/>
          <w:sz w:val="30"/>
          <w:szCs w:val="30"/>
        </w:rPr>
      </w:pP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（二）测试项目标准与分值</w:t>
      </w:r>
    </w:p>
    <w:tbl>
      <w:tblPr>
        <w:tblStyle w:val="2"/>
        <w:tblW w:w="9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134"/>
        <w:gridCol w:w="1268"/>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752"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测试项目</w:t>
            </w:r>
          </w:p>
        </w:tc>
        <w:tc>
          <w:tcPr>
            <w:tcW w:w="1134"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40分</w:t>
            </w:r>
          </w:p>
        </w:tc>
        <w:tc>
          <w:tcPr>
            <w:tcW w:w="1268"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50分</w:t>
            </w:r>
          </w:p>
        </w:tc>
        <w:tc>
          <w:tcPr>
            <w:tcW w:w="1134"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60分</w:t>
            </w:r>
          </w:p>
        </w:tc>
        <w:tc>
          <w:tcPr>
            <w:tcW w:w="1134"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70分</w:t>
            </w:r>
          </w:p>
        </w:tc>
        <w:tc>
          <w:tcPr>
            <w:tcW w:w="1134"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80分</w:t>
            </w:r>
          </w:p>
        </w:tc>
        <w:tc>
          <w:tcPr>
            <w:tcW w:w="1134"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90分</w:t>
            </w:r>
          </w:p>
        </w:tc>
        <w:tc>
          <w:tcPr>
            <w:tcW w:w="1134"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32"/>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752" w:type="dxa"/>
            <w:shd w:val="clear" w:color="auto" w:fill="auto"/>
            <w:noWrap w:val="0"/>
            <w:vAlign w:val="top"/>
          </w:tcPr>
          <w:p>
            <w:pPr>
              <w:spacing w:line="520" w:lineRule="exact"/>
              <w:jc w:val="left"/>
              <w:rPr>
                <w:rFonts w:ascii="仿宋_GB2312" w:hAnsi="宋体" w:eastAsia="仿宋_GB2312"/>
                <w:sz w:val="32"/>
                <w:szCs w:val="32"/>
              </w:rPr>
            </w:pPr>
            <w:r>
              <w:rPr>
                <w:rFonts w:hint="eastAsia" w:ascii="仿宋_GB2312" w:hAnsi="宋体" w:eastAsia="仿宋_GB2312"/>
                <w:sz w:val="24"/>
                <w:szCs w:val="32"/>
              </w:rPr>
              <w:t>1.站姿旋转抛球（单位：cm）</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400-499</w:t>
            </w:r>
          </w:p>
        </w:tc>
        <w:tc>
          <w:tcPr>
            <w:tcW w:w="1268"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500-599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600-699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700-799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800-899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900-999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752"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2.10000米跑（min）</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80´- &lt; 85´</w:t>
            </w:r>
          </w:p>
        </w:tc>
        <w:tc>
          <w:tcPr>
            <w:tcW w:w="1268"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75´- &lt; 80´</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70´- &lt; 75´</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65´- &lt;70´</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 &lt;65´</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55´- &lt;60</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52"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3.双手握力测试（kg）</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23.00-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28.74</w:t>
            </w:r>
          </w:p>
        </w:tc>
        <w:tc>
          <w:tcPr>
            <w:tcW w:w="1268"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28.75-</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34.49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34.50-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40.24</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40.25-</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45.99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46.00-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51.74</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51.75-</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57.49</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≥57.50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752"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4.八级腹桥</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（s）</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60-65</w:t>
            </w:r>
          </w:p>
        </w:tc>
        <w:tc>
          <w:tcPr>
            <w:tcW w:w="1268"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70-75</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80-85</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90-95</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100-105</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110-115</w:t>
            </w:r>
          </w:p>
        </w:tc>
        <w:tc>
          <w:tcPr>
            <w:tcW w:w="113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≥120</w:t>
            </w:r>
          </w:p>
        </w:tc>
      </w:tr>
    </w:tbl>
    <w:p>
      <w:pPr>
        <w:spacing w:after="156" w:afterLines="50" w:line="520" w:lineRule="exact"/>
        <w:jc w:val="center"/>
        <w:rPr>
          <w:rFonts w:ascii="仿宋" w:hAnsi="仿宋" w:eastAsia="仿宋"/>
          <w:sz w:val="30"/>
          <w:szCs w:val="30"/>
        </w:rPr>
      </w:pPr>
      <w:r>
        <w:rPr>
          <w:rFonts w:hint="eastAsia" w:ascii="仿宋" w:hAnsi="仿宋" w:eastAsia="仿宋"/>
          <w:sz w:val="30"/>
          <w:szCs w:val="30"/>
        </w:rPr>
        <w:t>表2  测试项目标准与分值（男）</w:t>
      </w:r>
    </w:p>
    <w:tbl>
      <w:tblPr>
        <w:tblStyle w:val="2"/>
        <w:tblW w:w="10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163"/>
        <w:gridCol w:w="1163"/>
        <w:gridCol w:w="1200"/>
        <w:gridCol w:w="1241"/>
        <w:gridCol w:w="1186"/>
        <w:gridCol w:w="115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84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测试项目</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40分</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50分</w:t>
            </w:r>
          </w:p>
        </w:tc>
        <w:tc>
          <w:tcPr>
            <w:tcW w:w="1200"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60分</w:t>
            </w:r>
          </w:p>
        </w:tc>
        <w:tc>
          <w:tcPr>
            <w:tcW w:w="1241"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70分</w:t>
            </w:r>
          </w:p>
        </w:tc>
        <w:tc>
          <w:tcPr>
            <w:tcW w:w="1186"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80分</w:t>
            </w:r>
          </w:p>
        </w:tc>
        <w:tc>
          <w:tcPr>
            <w:tcW w:w="1159"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90分</w:t>
            </w:r>
          </w:p>
        </w:tc>
        <w:tc>
          <w:tcPr>
            <w:tcW w:w="122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84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1.站姿旋转抛球（单位：cm）</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300-374</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375-449</w:t>
            </w:r>
          </w:p>
        </w:tc>
        <w:tc>
          <w:tcPr>
            <w:tcW w:w="1200"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450-524</w:t>
            </w:r>
          </w:p>
        </w:tc>
        <w:tc>
          <w:tcPr>
            <w:tcW w:w="1241"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525-599</w:t>
            </w:r>
          </w:p>
        </w:tc>
        <w:tc>
          <w:tcPr>
            <w:tcW w:w="1186"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600-674</w:t>
            </w:r>
          </w:p>
        </w:tc>
        <w:tc>
          <w:tcPr>
            <w:tcW w:w="1159"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675-749</w:t>
            </w:r>
          </w:p>
        </w:tc>
        <w:tc>
          <w:tcPr>
            <w:tcW w:w="122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84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2.10000米跑（min）</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85´- &lt;90´</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80´-&lt; 85´</w:t>
            </w:r>
          </w:p>
        </w:tc>
        <w:tc>
          <w:tcPr>
            <w:tcW w:w="1200"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75´-&lt; 80´</w:t>
            </w:r>
          </w:p>
        </w:tc>
        <w:tc>
          <w:tcPr>
            <w:tcW w:w="1241"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70´-&lt; 75´</w:t>
            </w:r>
          </w:p>
        </w:tc>
        <w:tc>
          <w:tcPr>
            <w:tcW w:w="1186"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65´-&lt;70´</w:t>
            </w:r>
          </w:p>
        </w:tc>
        <w:tc>
          <w:tcPr>
            <w:tcW w:w="1159"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60´-&lt;65´</w:t>
            </w:r>
          </w:p>
        </w:tc>
        <w:tc>
          <w:tcPr>
            <w:tcW w:w="122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84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3.双手握力测试（kg）</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16.40-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20.49</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20.50-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24.59</w:t>
            </w:r>
          </w:p>
        </w:tc>
        <w:tc>
          <w:tcPr>
            <w:tcW w:w="1200"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24.60-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28.69</w:t>
            </w:r>
          </w:p>
        </w:tc>
        <w:tc>
          <w:tcPr>
            <w:tcW w:w="1241"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28.70-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32.79</w:t>
            </w:r>
          </w:p>
        </w:tc>
        <w:tc>
          <w:tcPr>
            <w:tcW w:w="1186"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32.80-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36.89</w:t>
            </w:r>
          </w:p>
        </w:tc>
        <w:tc>
          <w:tcPr>
            <w:tcW w:w="1159"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36.90-</w:t>
            </w:r>
          </w:p>
          <w:p>
            <w:pPr>
              <w:spacing w:line="520" w:lineRule="exact"/>
              <w:jc w:val="left"/>
              <w:rPr>
                <w:rFonts w:ascii="仿宋_GB2312" w:hAnsi="宋体" w:eastAsia="仿宋_GB2312"/>
                <w:sz w:val="24"/>
                <w:szCs w:val="32"/>
              </w:rPr>
            </w:pPr>
            <w:r>
              <w:rPr>
                <w:rFonts w:hint="eastAsia" w:ascii="仿宋_GB2312" w:hAnsi="宋体" w:eastAsia="仿宋_GB2312"/>
                <w:sz w:val="24"/>
                <w:szCs w:val="32"/>
              </w:rPr>
              <w:t>40.99</w:t>
            </w:r>
          </w:p>
        </w:tc>
        <w:tc>
          <w:tcPr>
            <w:tcW w:w="122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844"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4.八级腹桥（s）</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60-65</w:t>
            </w:r>
          </w:p>
        </w:tc>
        <w:tc>
          <w:tcPr>
            <w:tcW w:w="116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70-75</w:t>
            </w:r>
          </w:p>
        </w:tc>
        <w:tc>
          <w:tcPr>
            <w:tcW w:w="1200"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80-85</w:t>
            </w:r>
          </w:p>
        </w:tc>
        <w:tc>
          <w:tcPr>
            <w:tcW w:w="1241"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90-95</w:t>
            </w:r>
          </w:p>
        </w:tc>
        <w:tc>
          <w:tcPr>
            <w:tcW w:w="1186"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100-105</w:t>
            </w:r>
          </w:p>
        </w:tc>
        <w:tc>
          <w:tcPr>
            <w:tcW w:w="1159"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110-115</w:t>
            </w:r>
          </w:p>
        </w:tc>
        <w:tc>
          <w:tcPr>
            <w:tcW w:w="1223" w:type="dxa"/>
            <w:shd w:val="clear" w:color="auto" w:fill="auto"/>
            <w:noWrap w:val="0"/>
            <w:vAlign w:val="top"/>
          </w:tcPr>
          <w:p>
            <w:pPr>
              <w:spacing w:line="520" w:lineRule="exact"/>
              <w:jc w:val="left"/>
              <w:rPr>
                <w:rFonts w:ascii="仿宋_GB2312" w:hAnsi="宋体" w:eastAsia="仿宋_GB2312"/>
                <w:sz w:val="24"/>
                <w:szCs w:val="32"/>
              </w:rPr>
            </w:pPr>
            <w:r>
              <w:rPr>
                <w:rFonts w:hint="eastAsia" w:ascii="仿宋_GB2312" w:hAnsi="宋体" w:eastAsia="仿宋_GB2312"/>
                <w:sz w:val="24"/>
                <w:szCs w:val="32"/>
              </w:rPr>
              <w:t>≥120</w:t>
            </w:r>
          </w:p>
        </w:tc>
      </w:tr>
    </w:tbl>
    <w:p>
      <w:pPr>
        <w:spacing w:after="156" w:afterLines="50" w:line="520" w:lineRule="exact"/>
        <w:jc w:val="center"/>
        <w:rPr>
          <w:rFonts w:hint="eastAsia" w:ascii="仿宋" w:hAnsi="仿宋" w:eastAsia="仿宋"/>
          <w:sz w:val="30"/>
          <w:szCs w:val="30"/>
        </w:rPr>
      </w:pPr>
      <w:r>
        <w:rPr>
          <w:rFonts w:hint="eastAsia" w:ascii="仿宋" w:hAnsi="仿宋" w:eastAsia="仿宋"/>
          <w:sz w:val="30"/>
          <w:szCs w:val="30"/>
        </w:rPr>
        <w:t>表3  测试项目标准与分值（女）</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（三）备选测试项目标准与分值</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因膝关节损伤等客观身体原因无法参加测试的运动员，需由三甲（含三甲）级以上的医院出具相关证明，并由省级运动管理中心向国家体育总局射击射箭运动管理中心提出更换测试项目的书面申请，经核准后，方可使用功率自行车代替，完成30KM骑行测试。详细标准见下表4。</w:t>
      </w:r>
    </w:p>
    <w:tbl>
      <w:tblPr>
        <w:tblStyle w:val="2"/>
        <w:tblW w:w="9255" w:type="dxa"/>
        <w:jc w:val="center"/>
        <w:tblInd w:w="0" w:type="dxa"/>
        <w:tblLayout w:type="fixed"/>
        <w:tblCellMar>
          <w:top w:w="0" w:type="dxa"/>
          <w:left w:w="0" w:type="dxa"/>
          <w:bottom w:w="0" w:type="dxa"/>
          <w:right w:w="0" w:type="dxa"/>
        </w:tblCellMar>
      </w:tblPr>
      <w:tblGrid>
        <w:gridCol w:w="1380"/>
        <w:gridCol w:w="1206"/>
        <w:gridCol w:w="1170"/>
        <w:gridCol w:w="1185"/>
        <w:gridCol w:w="1165"/>
        <w:gridCol w:w="1260"/>
        <w:gridCol w:w="1155"/>
        <w:gridCol w:w="734"/>
      </w:tblGrid>
      <w:tr>
        <w:tblPrEx>
          <w:tblLayout w:type="fixed"/>
          <w:tblCellMar>
            <w:top w:w="0" w:type="dxa"/>
            <w:left w:w="0" w:type="dxa"/>
            <w:bottom w:w="0" w:type="dxa"/>
            <w:right w:w="0" w:type="dxa"/>
          </w:tblCellMar>
        </w:tblPrEx>
        <w:trPr>
          <w:trHeight w:val="1000" w:hRule="atLeast"/>
          <w:jc w:val="center"/>
        </w:trPr>
        <w:tc>
          <w:tcPr>
            <w:tcW w:w="1380" w:type="dxa"/>
            <w:tcBorders>
              <w:top w:val="single" w:color="000000" w:sz="8" w:space="0"/>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项目：功率自行车（单位：min）</w:t>
            </w:r>
          </w:p>
        </w:tc>
        <w:tc>
          <w:tcPr>
            <w:tcW w:w="1206" w:type="dxa"/>
            <w:tcBorders>
              <w:top w:val="single" w:color="000000" w:sz="8"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40分</w:t>
            </w:r>
          </w:p>
        </w:tc>
        <w:tc>
          <w:tcPr>
            <w:tcW w:w="1170" w:type="dxa"/>
            <w:tcBorders>
              <w:top w:val="single" w:color="000000" w:sz="8"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50分</w:t>
            </w:r>
          </w:p>
        </w:tc>
        <w:tc>
          <w:tcPr>
            <w:tcW w:w="1185" w:type="dxa"/>
            <w:tcBorders>
              <w:top w:val="single" w:color="000000" w:sz="8"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60分</w:t>
            </w:r>
          </w:p>
        </w:tc>
        <w:tc>
          <w:tcPr>
            <w:tcW w:w="1165" w:type="dxa"/>
            <w:tcBorders>
              <w:top w:val="single" w:color="000000" w:sz="8"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70分</w:t>
            </w:r>
          </w:p>
        </w:tc>
        <w:tc>
          <w:tcPr>
            <w:tcW w:w="1260" w:type="dxa"/>
            <w:tcBorders>
              <w:top w:val="single" w:color="000000" w:sz="8"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80分</w:t>
            </w:r>
          </w:p>
        </w:tc>
        <w:tc>
          <w:tcPr>
            <w:tcW w:w="1155" w:type="dxa"/>
            <w:tcBorders>
              <w:top w:val="single" w:color="000000" w:sz="8"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90分</w:t>
            </w:r>
          </w:p>
        </w:tc>
        <w:tc>
          <w:tcPr>
            <w:tcW w:w="734" w:type="dxa"/>
            <w:tcBorders>
              <w:top w:val="single" w:color="000000" w:sz="8"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100分</w:t>
            </w:r>
          </w:p>
        </w:tc>
      </w:tr>
      <w:tr>
        <w:tblPrEx>
          <w:tblLayout w:type="fixed"/>
          <w:tblCellMar>
            <w:top w:w="0" w:type="dxa"/>
            <w:left w:w="0" w:type="dxa"/>
            <w:bottom w:w="0" w:type="dxa"/>
            <w:right w:w="0" w:type="dxa"/>
          </w:tblCellMar>
        </w:tblPrEx>
        <w:trPr>
          <w:trHeight w:val="585" w:hRule="atLeast"/>
          <w:jc w:val="center"/>
        </w:trPr>
        <w:tc>
          <w:tcPr>
            <w:tcW w:w="13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男</w:t>
            </w:r>
          </w:p>
        </w:tc>
        <w:tc>
          <w:tcPr>
            <w:tcW w:w="1206"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80´- &lt; 85´</w:t>
            </w:r>
          </w:p>
        </w:tc>
        <w:tc>
          <w:tcPr>
            <w:tcW w:w="117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75´- &lt; 80´</w:t>
            </w:r>
          </w:p>
        </w:tc>
        <w:tc>
          <w:tcPr>
            <w:tcW w:w="1185"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70´- &lt; 75´</w:t>
            </w:r>
          </w:p>
        </w:tc>
        <w:tc>
          <w:tcPr>
            <w:tcW w:w="1165"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65´- &lt;70´</w:t>
            </w:r>
          </w:p>
        </w:tc>
        <w:tc>
          <w:tcPr>
            <w:tcW w:w="126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60´- &lt;65´</w:t>
            </w:r>
          </w:p>
        </w:tc>
        <w:tc>
          <w:tcPr>
            <w:tcW w:w="1155"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55´- &lt;60</w:t>
            </w:r>
          </w:p>
        </w:tc>
        <w:tc>
          <w:tcPr>
            <w:tcW w:w="734"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＜55</w:t>
            </w:r>
          </w:p>
        </w:tc>
      </w:tr>
      <w:tr>
        <w:tblPrEx>
          <w:tblLayout w:type="fixed"/>
          <w:tblCellMar>
            <w:top w:w="0" w:type="dxa"/>
            <w:left w:w="0" w:type="dxa"/>
            <w:bottom w:w="0" w:type="dxa"/>
            <w:right w:w="0" w:type="dxa"/>
          </w:tblCellMar>
        </w:tblPrEx>
        <w:trPr>
          <w:trHeight w:val="585" w:hRule="atLeast"/>
          <w:jc w:val="center"/>
        </w:trPr>
        <w:tc>
          <w:tcPr>
            <w:tcW w:w="13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女</w:t>
            </w:r>
          </w:p>
        </w:tc>
        <w:tc>
          <w:tcPr>
            <w:tcW w:w="1206"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85´- &lt;90´</w:t>
            </w:r>
          </w:p>
        </w:tc>
        <w:tc>
          <w:tcPr>
            <w:tcW w:w="117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80´- &lt; 85´</w:t>
            </w:r>
          </w:p>
        </w:tc>
        <w:tc>
          <w:tcPr>
            <w:tcW w:w="1185"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75´- &lt; 80´</w:t>
            </w:r>
          </w:p>
        </w:tc>
        <w:tc>
          <w:tcPr>
            <w:tcW w:w="1165"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70´- &lt; 75´</w:t>
            </w:r>
          </w:p>
        </w:tc>
        <w:tc>
          <w:tcPr>
            <w:tcW w:w="126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65´- &lt;70´</w:t>
            </w:r>
          </w:p>
        </w:tc>
        <w:tc>
          <w:tcPr>
            <w:tcW w:w="1155"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60´- &lt;65´</w:t>
            </w:r>
          </w:p>
        </w:tc>
        <w:tc>
          <w:tcPr>
            <w:tcW w:w="734"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top"/>
          </w:tcPr>
          <w:p>
            <w:r>
              <w:rPr>
                <w:rFonts w:hint="eastAsia"/>
              </w:rPr>
              <w:t>＜60´</w:t>
            </w:r>
          </w:p>
        </w:tc>
      </w:tr>
    </w:tbl>
    <w:p>
      <w:pPr>
        <w:spacing w:after="156" w:afterLines="50" w:line="520" w:lineRule="exact"/>
        <w:jc w:val="center"/>
        <w:rPr>
          <w:rFonts w:hint="eastAsia" w:ascii="仿宋" w:hAnsi="仿宋" w:eastAsia="仿宋"/>
          <w:sz w:val="30"/>
          <w:szCs w:val="30"/>
        </w:rPr>
      </w:pPr>
      <w:r>
        <w:rPr>
          <w:rFonts w:hint="eastAsia" w:ascii="仿宋" w:hAnsi="仿宋" w:eastAsia="仿宋"/>
          <w:sz w:val="30"/>
          <w:szCs w:val="30"/>
        </w:rPr>
        <w:t>表4备选测试项目标准与分值</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备注：</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1.本测试共4项，每项最高分为100分，最低分为0分；</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2.评判标准</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青年组：优秀360分；良好330分；及格300分；</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3.双手握力测试2次，每次测试取双手测量平均值，以两次测量高值计入成绩；站姿旋转抛药球测试共有三次机会，测试成绩取平均值；</w:t>
      </w:r>
    </w:p>
    <w:p>
      <w:r>
        <w:rPr>
          <w:rFonts w:hint="eastAsia" w:ascii="仿宋" w:hAnsi="仿宋" w:eastAsia="仿宋"/>
          <w:sz w:val="30"/>
          <w:szCs w:val="30"/>
        </w:rPr>
        <w:t>4.总分不及格的运动员取消选拔资格，10000米跑成绩或替换测试中30KM骑行成绩低于40分者，取消选拔资格。（即男子运动员需在85分钟内完成10000米测试，女子运动员需在90分钟内完成10000米测试；参加替换测试的男子运动员则需要在85分钟内完成30KM骑行测试，女子运动员需要在90分钟内完成30KM骑行测试）。</w:t>
      </w:r>
    </w:p>
    <w:sectPr>
      <w:pgSz w:w="11906" w:h="16838"/>
      <w:pgMar w:top="1157" w:right="1746" w:bottom="115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2354F"/>
    <w:rsid w:val="27B2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2019-08-22T10:23:00Z</dcterms:created>
  <dc:creator>❤️Chloe M</dc:creator>
  <cp:lastModifiedBy>❤️Chloe M</cp:lastModifiedBy>
  <dcterms:modified xsi:type="dcterms:W3CDTF">2019-08-22T10:24:21Z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