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450" w:lineRule="atLeast"/>
        <w:rPr>
          <w:rStyle w:val="5"/>
          <w:rFonts w:hint="eastAsia" w:ascii="黑体" w:hAnsi="黑体" w:eastAsia="黑体" w:cs="黑体"/>
          <w:b w:val="0"/>
          <w:color w:val="000000"/>
          <w:sz w:val="44"/>
          <w:szCs w:val="44"/>
        </w:rPr>
      </w:pPr>
      <w:r>
        <w:rPr>
          <w:rStyle w:val="5"/>
          <w:rFonts w:hint="eastAsia" w:ascii="黑体" w:hAnsi="黑体" w:eastAsia="黑体" w:cs="黑体"/>
          <w:b w:val="0"/>
          <w:color w:val="000000"/>
          <w:sz w:val="44"/>
          <w:szCs w:val="44"/>
        </w:rPr>
        <w:t>附件</w:t>
      </w:r>
    </w:p>
    <w:p>
      <w:pPr>
        <w:pStyle w:val="2"/>
        <w:shd w:val="clear" w:color="auto" w:fill="FFFFFF"/>
        <w:spacing w:before="0" w:beforeAutospacing="0" w:after="0" w:afterAutospacing="0" w:line="450" w:lineRule="atLeast"/>
        <w:jc w:val="center"/>
        <w:rPr>
          <w:rStyle w:val="5"/>
          <w:rFonts w:hint="eastAsia" w:ascii="方正小标宋_GBK" w:eastAsia="方正小标宋_GBK" w:hAnsiTheme="majorEastAsia"/>
          <w:b w:val="0"/>
          <w:color w:val="000000"/>
          <w:sz w:val="32"/>
          <w:szCs w:val="32"/>
        </w:rPr>
      </w:pPr>
      <w:r>
        <w:rPr>
          <w:rStyle w:val="5"/>
          <w:rFonts w:hint="eastAsia" w:ascii="方正小标宋_GBK" w:eastAsia="方正小标宋_GBK" w:hAnsiTheme="majorEastAsia"/>
          <w:b w:val="0"/>
          <w:color w:val="000000"/>
          <w:sz w:val="32"/>
          <w:szCs w:val="32"/>
        </w:rPr>
        <w:t>国家射击队2019年亚洲射击锦标赛</w:t>
      </w:r>
    </w:p>
    <w:p>
      <w:pPr>
        <w:pStyle w:val="2"/>
        <w:shd w:val="clear" w:color="auto" w:fill="FFFFFF"/>
        <w:spacing w:before="0" w:beforeAutospacing="0" w:after="0" w:afterAutospacing="0" w:line="450" w:lineRule="atLeast"/>
        <w:jc w:val="center"/>
        <w:rPr>
          <w:rFonts w:hint="eastAsia" w:ascii="方正小标宋_GBK" w:eastAsia="方正小标宋_GBK" w:hAnsiTheme="majorEastAsia"/>
          <w:bCs/>
          <w:color w:val="000000"/>
          <w:sz w:val="32"/>
          <w:szCs w:val="32"/>
        </w:rPr>
      </w:pPr>
      <w:r>
        <w:rPr>
          <w:rStyle w:val="5"/>
          <w:rFonts w:hint="eastAsia" w:ascii="方正小标宋_GBK" w:eastAsia="方正小标宋_GBK" w:hAnsiTheme="majorEastAsia"/>
          <w:b w:val="0"/>
          <w:color w:val="000000"/>
          <w:sz w:val="32"/>
          <w:szCs w:val="32"/>
        </w:rPr>
        <w:t>少年组参赛运动员</w:t>
      </w:r>
      <w:bookmarkStart w:id="0" w:name="_GoBack"/>
      <w:r>
        <w:rPr>
          <w:rStyle w:val="5"/>
          <w:rFonts w:hint="eastAsia" w:ascii="方正小标宋_GBK" w:eastAsia="方正小标宋_GBK" w:hAnsiTheme="majorEastAsia"/>
          <w:b w:val="0"/>
          <w:color w:val="000000"/>
          <w:sz w:val="32"/>
          <w:szCs w:val="32"/>
        </w:rPr>
        <w:t>选拔办法</w:t>
      </w:r>
      <w:bookmarkEnd w:id="0"/>
    </w:p>
    <w:p>
      <w:pPr>
        <w:pStyle w:val="2"/>
        <w:shd w:val="clear" w:color="auto" w:fill="FFFFFF"/>
        <w:spacing w:before="0" w:beforeAutospacing="0" w:after="0" w:afterAutospacing="0" w:line="450" w:lineRule="atLeast"/>
        <w:rPr>
          <w:rFonts w:ascii="仿宋_GB2312" w:hAnsi="微软雅黑" w:eastAsia="仿宋_GB2312"/>
          <w:color w:val="000000"/>
          <w:sz w:val="32"/>
          <w:szCs w:val="32"/>
        </w:rPr>
      </w:pPr>
    </w:p>
    <w:p>
      <w:pPr>
        <w:pStyle w:val="2"/>
        <w:shd w:val="clear" w:color="auto" w:fill="FFFFFF"/>
        <w:spacing w:before="0" w:beforeAutospacing="0" w:after="0" w:afterAutospacing="0" w:line="450" w:lineRule="atLeas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为完成好2019年亚洲射击锦标赛的参赛任务，根据国家体育总局《国家队运动员、教练员选拔与监督工作管理规定（试行）》（体竞字〔</w:t>
      </w:r>
      <w:r>
        <w:rPr>
          <w:rFonts w:ascii="仿宋_GB2312" w:hAnsi="微软雅黑" w:eastAsia="仿宋_GB2312"/>
          <w:color w:val="000000"/>
          <w:sz w:val="32"/>
          <w:szCs w:val="32"/>
        </w:rPr>
        <w:t>2014</w:t>
      </w:r>
      <w:r>
        <w:rPr>
          <w:rFonts w:hint="eastAsia" w:ascii="仿宋_GB2312" w:hAnsi="微软雅黑" w:eastAsia="仿宋_GB2312"/>
          <w:color w:val="000000"/>
          <w:sz w:val="32"/>
          <w:szCs w:val="32"/>
        </w:rPr>
        <w:t>〕</w:t>
      </w:r>
      <w:r>
        <w:rPr>
          <w:rFonts w:ascii="仿宋_GB2312" w:hAnsi="微软雅黑" w:eastAsia="仿宋_GB2312"/>
          <w:color w:val="000000"/>
          <w:sz w:val="32"/>
          <w:szCs w:val="32"/>
        </w:rPr>
        <w:t>172</w:t>
      </w:r>
      <w:r>
        <w:rPr>
          <w:rFonts w:hint="eastAsia" w:ascii="仿宋_GB2312" w:hAnsi="微软雅黑" w:eastAsia="仿宋_GB2312"/>
          <w:color w:val="000000"/>
          <w:sz w:val="32"/>
          <w:szCs w:val="32"/>
        </w:rPr>
        <w:t>号）的规定，参照射运中心《国家射击队、国家飞碟射击队运动员选拔、教练员选聘与监督工作实施细则（试行）》（射运字〔</w:t>
      </w:r>
      <w:r>
        <w:rPr>
          <w:rFonts w:ascii="仿宋_GB2312" w:hAnsi="微软雅黑" w:eastAsia="仿宋_GB2312"/>
          <w:color w:val="000000"/>
          <w:sz w:val="32"/>
          <w:szCs w:val="32"/>
        </w:rPr>
        <w:t>2015</w:t>
      </w:r>
      <w:r>
        <w:rPr>
          <w:rFonts w:hint="eastAsia" w:ascii="仿宋_GB2312" w:hAnsi="微软雅黑" w:eastAsia="仿宋_GB2312"/>
          <w:color w:val="000000"/>
          <w:sz w:val="32"/>
          <w:szCs w:val="32"/>
        </w:rPr>
        <w:t>〕</w:t>
      </w:r>
      <w:r>
        <w:rPr>
          <w:rFonts w:ascii="仿宋_GB2312" w:hAnsi="微软雅黑" w:eastAsia="仿宋_GB2312"/>
          <w:color w:val="000000"/>
          <w:sz w:val="32"/>
          <w:szCs w:val="32"/>
        </w:rPr>
        <w:t>102</w:t>
      </w:r>
      <w:r>
        <w:rPr>
          <w:rFonts w:hint="eastAsia" w:ascii="仿宋_GB2312" w:hAnsi="微软雅黑" w:eastAsia="仿宋_GB2312"/>
          <w:color w:val="000000"/>
          <w:sz w:val="32"/>
          <w:szCs w:val="32"/>
        </w:rPr>
        <w:t>号）的相关原则，特制定本办法。</w:t>
      </w:r>
    </w:p>
    <w:p>
      <w:pPr>
        <w:pStyle w:val="2"/>
        <w:shd w:val="clear" w:color="auto" w:fill="FFFFFF"/>
        <w:spacing w:before="0" w:beforeAutospacing="0" w:after="0" w:afterAutospacing="0" w:line="450" w:lineRule="atLeas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一、选拔项目</w:t>
      </w:r>
    </w:p>
    <w:p>
      <w:pPr>
        <w:pStyle w:val="2"/>
        <w:shd w:val="clear" w:color="auto" w:fill="FFFFFF"/>
        <w:spacing w:before="0" w:beforeAutospacing="0" w:after="0" w:afterAutospacing="0" w:line="450" w:lineRule="atLeast"/>
        <w:ind w:firstLine="640" w:firstLineChars="200"/>
        <w:rPr>
          <w:rFonts w:ascii="仿宋_GB2312" w:hAnsi="微软雅黑" w:eastAsia="仿宋_GB2312"/>
          <w:color w:val="000000"/>
          <w:sz w:val="32"/>
          <w:szCs w:val="32"/>
        </w:rPr>
      </w:pPr>
      <w:r>
        <w:rPr>
          <w:rFonts w:ascii="仿宋_GB2312" w:hAnsi="微软雅黑" w:eastAsia="仿宋_GB2312"/>
          <w:color w:val="000000"/>
          <w:sz w:val="32"/>
          <w:szCs w:val="32"/>
        </w:rPr>
        <w:fldChar w:fldCharType="begin"/>
      </w:r>
      <w:r>
        <w:rPr>
          <w:rFonts w:ascii="仿宋_GB2312" w:hAnsi="微软雅黑" w:eastAsia="仿宋_GB2312"/>
          <w:color w:val="000000"/>
          <w:sz w:val="32"/>
          <w:szCs w:val="32"/>
        </w:rPr>
        <w:instrText xml:space="preserve"> </w:instrText>
      </w:r>
      <w:r>
        <w:rPr>
          <w:rFonts w:hint="eastAsia" w:ascii="仿宋_GB2312" w:hAnsi="微软雅黑" w:eastAsia="仿宋_GB2312"/>
          <w:color w:val="000000"/>
          <w:sz w:val="32"/>
          <w:szCs w:val="32"/>
        </w:rPr>
        <w:instrText xml:space="preserve">= 1 \* GB4</w:instrText>
      </w:r>
      <w:r>
        <w:rPr>
          <w:rFonts w:ascii="仿宋_GB2312" w:hAnsi="微软雅黑" w:eastAsia="仿宋_GB2312"/>
          <w:color w:val="000000"/>
          <w:sz w:val="32"/>
          <w:szCs w:val="32"/>
        </w:rPr>
        <w:instrText xml:space="preserve"> </w:instrText>
      </w:r>
      <w:r>
        <w:rPr>
          <w:rFonts w:ascii="仿宋_GB2312" w:hAnsi="微软雅黑" w:eastAsia="仿宋_GB2312"/>
          <w:color w:val="000000"/>
          <w:sz w:val="32"/>
          <w:szCs w:val="32"/>
        </w:rPr>
        <w:fldChar w:fldCharType="separate"/>
      </w:r>
      <w:r>
        <w:rPr>
          <w:rFonts w:hint="eastAsia" w:ascii="仿宋_GB2312" w:hAnsi="微软雅黑" w:eastAsia="仿宋_GB2312"/>
          <w:color w:val="000000"/>
          <w:sz w:val="32"/>
          <w:szCs w:val="32"/>
        </w:rPr>
        <w:t>㈠</w:t>
      </w:r>
      <w:r>
        <w:rPr>
          <w:rFonts w:ascii="仿宋_GB2312" w:hAnsi="微软雅黑" w:eastAsia="仿宋_GB2312"/>
          <w:color w:val="000000"/>
          <w:sz w:val="32"/>
          <w:szCs w:val="32"/>
        </w:rPr>
        <w:fldChar w:fldCharType="end"/>
      </w:r>
      <w:r>
        <w:rPr>
          <w:rFonts w:hint="eastAsia" w:ascii="仿宋_GB2312" w:hAnsi="微软雅黑" w:eastAsia="仿宋_GB2312"/>
          <w:color w:val="000000"/>
          <w:sz w:val="32"/>
          <w:szCs w:val="32"/>
        </w:rPr>
        <w:t>男子10米气步枪</w:t>
      </w:r>
    </w:p>
    <w:p>
      <w:pPr>
        <w:pStyle w:val="2"/>
        <w:shd w:val="clear" w:color="auto" w:fill="FFFFFF"/>
        <w:spacing w:before="0" w:beforeAutospacing="0" w:after="0" w:afterAutospacing="0" w:line="450" w:lineRule="atLeast"/>
        <w:ind w:firstLine="640" w:firstLineChars="200"/>
        <w:rPr>
          <w:rFonts w:ascii="仿宋_GB2312" w:hAnsi="微软雅黑" w:eastAsia="仿宋_GB2312"/>
          <w:color w:val="000000"/>
          <w:sz w:val="32"/>
          <w:szCs w:val="32"/>
        </w:rPr>
      </w:pPr>
      <w:r>
        <w:rPr>
          <w:rFonts w:ascii="仿宋_GB2312" w:hAnsi="微软雅黑" w:eastAsia="仿宋_GB2312"/>
          <w:color w:val="000000"/>
          <w:sz w:val="32"/>
          <w:szCs w:val="32"/>
        </w:rPr>
        <w:fldChar w:fldCharType="begin"/>
      </w:r>
      <w:r>
        <w:rPr>
          <w:rFonts w:ascii="仿宋_GB2312" w:hAnsi="微软雅黑" w:eastAsia="仿宋_GB2312"/>
          <w:color w:val="000000"/>
          <w:sz w:val="32"/>
          <w:szCs w:val="32"/>
        </w:rPr>
        <w:instrText xml:space="preserve"> </w:instrText>
      </w:r>
      <w:r>
        <w:rPr>
          <w:rFonts w:hint="eastAsia" w:ascii="仿宋_GB2312" w:hAnsi="微软雅黑" w:eastAsia="仿宋_GB2312"/>
          <w:color w:val="000000"/>
          <w:sz w:val="32"/>
          <w:szCs w:val="32"/>
        </w:rPr>
        <w:instrText xml:space="preserve">= 2 \* GB4</w:instrText>
      </w:r>
      <w:r>
        <w:rPr>
          <w:rFonts w:ascii="仿宋_GB2312" w:hAnsi="微软雅黑" w:eastAsia="仿宋_GB2312"/>
          <w:color w:val="000000"/>
          <w:sz w:val="32"/>
          <w:szCs w:val="32"/>
        </w:rPr>
        <w:instrText xml:space="preserve"> </w:instrText>
      </w:r>
      <w:r>
        <w:rPr>
          <w:rFonts w:ascii="仿宋_GB2312" w:hAnsi="微软雅黑" w:eastAsia="仿宋_GB2312"/>
          <w:color w:val="000000"/>
          <w:sz w:val="32"/>
          <w:szCs w:val="32"/>
        </w:rPr>
        <w:fldChar w:fldCharType="separate"/>
      </w:r>
      <w:r>
        <w:rPr>
          <w:rFonts w:hint="eastAsia" w:ascii="仿宋_GB2312" w:hAnsi="微软雅黑" w:eastAsia="仿宋_GB2312"/>
          <w:color w:val="000000"/>
          <w:sz w:val="32"/>
          <w:szCs w:val="32"/>
        </w:rPr>
        <w:t>㈡</w:t>
      </w:r>
      <w:r>
        <w:rPr>
          <w:rFonts w:ascii="仿宋_GB2312" w:hAnsi="微软雅黑" w:eastAsia="仿宋_GB2312"/>
          <w:color w:val="000000"/>
          <w:sz w:val="32"/>
          <w:szCs w:val="32"/>
        </w:rPr>
        <w:fldChar w:fldCharType="end"/>
      </w:r>
      <w:r>
        <w:rPr>
          <w:rFonts w:hint="eastAsia" w:ascii="仿宋_GB2312" w:hAnsi="微软雅黑" w:eastAsia="仿宋_GB2312"/>
          <w:color w:val="000000"/>
          <w:sz w:val="32"/>
          <w:szCs w:val="32"/>
        </w:rPr>
        <w:t>男子10米气手枪</w:t>
      </w:r>
    </w:p>
    <w:p>
      <w:pPr>
        <w:pStyle w:val="2"/>
        <w:shd w:val="clear" w:color="auto" w:fill="FFFFFF"/>
        <w:spacing w:before="0" w:beforeAutospacing="0" w:after="0" w:afterAutospacing="0" w:line="450" w:lineRule="atLeast"/>
        <w:ind w:firstLine="640" w:firstLineChars="200"/>
        <w:rPr>
          <w:rFonts w:ascii="仿宋_GB2312" w:hAnsi="微软雅黑" w:eastAsia="仿宋_GB2312"/>
          <w:color w:val="000000"/>
          <w:sz w:val="32"/>
          <w:szCs w:val="32"/>
        </w:rPr>
      </w:pPr>
      <w:r>
        <w:rPr>
          <w:rFonts w:ascii="仿宋_GB2312" w:hAnsi="微软雅黑" w:eastAsia="仿宋_GB2312"/>
          <w:color w:val="000000"/>
          <w:sz w:val="32"/>
          <w:szCs w:val="32"/>
        </w:rPr>
        <w:fldChar w:fldCharType="begin"/>
      </w:r>
      <w:r>
        <w:rPr>
          <w:rFonts w:ascii="仿宋_GB2312" w:hAnsi="微软雅黑" w:eastAsia="仿宋_GB2312"/>
          <w:color w:val="000000"/>
          <w:sz w:val="32"/>
          <w:szCs w:val="32"/>
        </w:rPr>
        <w:instrText xml:space="preserve"> </w:instrText>
      </w:r>
      <w:r>
        <w:rPr>
          <w:rFonts w:hint="eastAsia" w:ascii="仿宋_GB2312" w:hAnsi="微软雅黑" w:eastAsia="仿宋_GB2312"/>
          <w:color w:val="000000"/>
          <w:sz w:val="32"/>
          <w:szCs w:val="32"/>
        </w:rPr>
        <w:instrText xml:space="preserve">= 3 \* GB4</w:instrText>
      </w:r>
      <w:r>
        <w:rPr>
          <w:rFonts w:ascii="仿宋_GB2312" w:hAnsi="微软雅黑" w:eastAsia="仿宋_GB2312"/>
          <w:color w:val="000000"/>
          <w:sz w:val="32"/>
          <w:szCs w:val="32"/>
        </w:rPr>
        <w:instrText xml:space="preserve"> </w:instrText>
      </w:r>
      <w:r>
        <w:rPr>
          <w:rFonts w:ascii="仿宋_GB2312" w:hAnsi="微软雅黑" w:eastAsia="仿宋_GB2312"/>
          <w:color w:val="000000"/>
          <w:sz w:val="32"/>
          <w:szCs w:val="32"/>
        </w:rPr>
        <w:fldChar w:fldCharType="separate"/>
      </w:r>
      <w:r>
        <w:rPr>
          <w:rFonts w:hint="eastAsia" w:ascii="仿宋_GB2312" w:hAnsi="微软雅黑" w:eastAsia="仿宋_GB2312"/>
          <w:color w:val="000000"/>
          <w:sz w:val="32"/>
          <w:szCs w:val="32"/>
        </w:rPr>
        <w:t>㈢</w:t>
      </w:r>
      <w:r>
        <w:rPr>
          <w:rFonts w:ascii="仿宋_GB2312" w:hAnsi="微软雅黑" w:eastAsia="仿宋_GB2312"/>
          <w:color w:val="000000"/>
          <w:sz w:val="32"/>
          <w:szCs w:val="32"/>
        </w:rPr>
        <w:fldChar w:fldCharType="end"/>
      </w:r>
      <w:r>
        <w:rPr>
          <w:rFonts w:hint="eastAsia" w:ascii="仿宋_GB2312" w:hAnsi="微软雅黑" w:eastAsia="仿宋_GB2312"/>
          <w:color w:val="000000"/>
          <w:sz w:val="32"/>
          <w:szCs w:val="32"/>
        </w:rPr>
        <w:t>女子10米气步枪</w:t>
      </w:r>
    </w:p>
    <w:p>
      <w:pPr>
        <w:pStyle w:val="2"/>
        <w:shd w:val="clear" w:color="auto" w:fill="FFFFFF"/>
        <w:spacing w:before="0" w:beforeAutospacing="0" w:after="0" w:afterAutospacing="0" w:line="450" w:lineRule="atLeast"/>
        <w:ind w:firstLine="640" w:firstLineChars="200"/>
        <w:rPr>
          <w:rFonts w:ascii="仿宋_GB2312" w:hAnsi="微软雅黑" w:eastAsia="仿宋_GB2312"/>
          <w:color w:val="000000"/>
          <w:sz w:val="32"/>
          <w:szCs w:val="32"/>
        </w:rPr>
      </w:pPr>
      <w:r>
        <w:rPr>
          <w:rFonts w:ascii="仿宋_GB2312" w:hAnsi="微软雅黑" w:eastAsia="仿宋_GB2312"/>
          <w:color w:val="000000"/>
          <w:sz w:val="32"/>
          <w:szCs w:val="32"/>
        </w:rPr>
        <w:fldChar w:fldCharType="begin"/>
      </w:r>
      <w:r>
        <w:rPr>
          <w:rFonts w:ascii="仿宋_GB2312" w:hAnsi="微软雅黑" w:eastAsia="仿宋_GB2312"/>
          <w:color w:val="000000"/>
          <w:sz w:val="32"/>
          <w:szCs w:val="32"/>
        </w:rPr>
        <w:instrText xml:space="preserve"> </w:instrText>
      </w:r>
      <w:r>
        <w:rPr>
          <w:rFonts w:hint="eastAsia" w:ascii="仿宋_GB2312" w:hAnsi="微软雅黑" w:eastAsia="仿宋_GB2312"/>
          <w:color w:val="000000"/>
          <w:sz w:val="32"/>
          <w:szCs w:val="32"/>
        </w:rPr>
        <w:instrText xml:space="preserve">= 4 \* GB4</w:instrText>
      </w:r>
      <w:r>
        <w:rPr>
          <w:rFonts w:ascii="仿宋_GB2312" w:hAnsi="微软雅黑" w:eastAsia="仿宋_GB2312"/>
          <w:color w:val="000000"/>
          <w:sz w:val="32"/>
          <w:szCs w:val="32"/>
        </w:rPr>
        <w:instrText xml:space="preserve"> </w:instrText>
      </w:r>
      <w:r>
        <w:rPr>
          <w:rFonts w:ascii="仿宋_GB2312" w:hAnsi="微软雅黑" w:eastAsia="仿宋_GB2312"/>
          <w:color w:val="000000"/>
          <w:sz w:val="32"/>
          <w:szCs w:val="32"/>
        </w:rPr>
        <w:fldChar w:fldCharType="separate"/>
      </w:r>
      <w:r>
        <w:rPr>
          <w:rFonts w:hint="eastAsia" w:ascii="仿宋_GB2312" w:hAnsi="微软雅黑" w:eastAsia="仿宋_GB2312"/>
          <w:color w:val="000000"/>
          <w:sz w:val="32"/>
          <w:szCs w:val="32"/>
        </w:rPr>
        <w:t>㈣</w:t>
      </w:r>
      <w:r>
        <w:rPr>
          <w:rFonts w:ascii="仿宋_GB2312" w:hAnsi="微软雅黑" w:eastAsia="仿宋_GB2312"/>
          <w:color w:val="000000"/>
          <w:sz w:val="32"/>
          <w:szCs w:val="32"/>
        </w:rPr>
        <w:fldChar w:fldCharType="end"/>
      </w:r>
      <w:r>
        <w:rPr>
          <w:rFonts w:hint="eastAsia" w:ascii="仿宋_GB2312" w:hAnsi="微软雅黑" w:eastAsia="仿宋_GB2312"/>
          <w:color w:val="000000"/>
          <w:sz w:val="32"/>
          <w:szCs w:val="32"/>
        </w:rPr>
        <w:t>女子10米气手枪</w:t>
      </w:r>
    </w:p>
    <w:p>
      <w:pPr>
        <w:pStyle w:val="2"/>
        <w:shd w:val="clear" w:color="auto" w:fill="FFFFFF"/>
        <w:spacing w:before="0" w:beforeAutospacing="0" w:after="0" w:afterAutospacing="0" w:line="450" w:lineRule="atLeas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二、参加选拔运动员年龄要求：</w:t>
      </w:r>
    </w:p>
    <w:p>
      <w:pPr>
        <w:pStyle w:val="2"/>
        <w:shd w:val="clear" w:color="auto" w:fill="FFFFFF"/>
        <w:spacing w:before="0" w:beforeAutospacing="0" w:after="0" w:afterAutospacing="0" w:line="450" w:lineRule="atLeas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参加选拔的运动员应符合2019年亚洲射击锦标赛少年组年龄要求</w:t>
      </w:r>
      <w:r>
        <w:rPr>
          <w:rFonts w:hint="eastAsia" w:ascii="仿宋" w:hAnsi="仿宋" w:eastAsia="仿宋"/>
          <w:sz w:val="32"/>
          <w:szCs w:val="32"/>
        </w:rPr>
        <w:t>（2001年1月1日及以后出生）</w:t>
      </w:r>
      <w:r>
        <w:rPr>
          <w:rFonts w:hint="eastAsia" w:ascii="仿宋_GB2312" w:hAnsi="微软雅黑" w:eastAsia="仿宋_GB2312"/>
          <w:color w:val="000000"/>
          <w:sz w:val="32"/>
          <w:szCs w:val="32"/>
        </w:rPr>
        <w:t>。</w:t>
      </w:r>
    </w:p>
    <w:p>
      <w:pPr>
        <w:pStyle w:val="2"/>
        <w:shd w:val="clear" w:color="auto" w:fill="FFFFFF"/>
        <w:spacing w:before="0" w:beforeAutospacing="0" w:after="0" w:afterAutospacing="0" w:line="450" w:lineRule="atLeas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三、选拔办法</w:t>
      </w:r>
    </w:p>
    <w:p>
      <w:pPr>
        <w:pStyle w:val="2"/>
        <w:shd w:val="clear" w:color="auto" w:fill="FFFFFF"/>
        <w:spacing w:before="0" w:beforeAutospacing="0" w:after="0" w:afterAutospacing="0" w:line="450" w:lineRule="atLeas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在符合年龄要求的运动员中，按照第二届全国青年运动会射击甲组相应项目比赛个人名次择优录取参赛人选。</w:t>
      </w:r>
    </w:p>
    <w:p>
      <w:pPr>
        <w:pStyle w:val="2"/>
        <w:shd w:val="clear" w:color="auto" w:fill="FFFFFF"/>
        <w:spacing w:before="0" w:beforeAutospacing="0" w:after="0" w:afterAutospacing="0" w:line="450" w:lineRule="atLeas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四、如入选少年组的运动员同时入选成年组或青年组比赛，则优先参加成年组或青年组，录取名额依据锦标赛相应项目排名递补。</w:t>
      </w:r>
    </w:p>
    <w:p>
      <w:pPr>
        <w:pStyle w:val="2"/>
        <w:shd w:val="clear" w:color="auto" w:fill="FFFFFF"/>
        <w:spacing w:before="0" w:beforeAutospacing="0" w:after="0" w:afterAutospacing="0" w:line="450" w:lineRule="atLeas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五、亚洲射击锦标赛非奥项目和青年组最终参赛项目和参赛名额将根据亚洲射击锦标赛报名人数限制、出访代表团规模等因素确定。最终参赛项目及人数确定后，依据本办法择优录取相应项目参赛人选。</w:t>
      </w:r>
    </w:p>
    <w:p>
      <w:pPr>
        <w:pStyle w:val="2"/>
        <w:shd w:val="clear" w:color="auto" w:fill="FFFFFF"/>
        <w:spacing w:before="0" w:beforeAutospacing="0" w:after="0" w:afterAutospacing="0" w:line="450" w:lineRule="atLeas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六、国内选拔赛采用国际射联最新版的《国际射联章程与规则》，参加选拔赛的运动员可以兼项，当所兼项目与竞赛日程发生矛盾时由运动员自行调整。</w:t>
      </w:r>
    </w:p>
    <w:p>
      <w:pPr>
        <w:pStyle w:val="2"/>
        <w:shd w:val="clear" w:color="auto" w:fill="FFFFFF"/>
        <w:spacing w:before="0" w:beforeAutospacing="0" w:after="0" w:afterAutospacing="0" w:line="450" w:lineRule="atLeas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七、为加强运动队管理及对入选运动员进行综合性考察，所有入选的运动员必须按照国家队要求进行集训，不能跟队进行正常训练者将视为自动放弃参赛资格。</w:t>
      </w:r>
    </w:p>
    <w:p>
      <w:pPr>
        <w:pStyle w:val="2"/>
        <w:shd w:val="clear" w:color="auto" w:fill="FFFFFF"/>
        <w:spacing w:before="0" w:beforeAutospacing="0" w:after="0" w:afterAutospacing="0" w:line="450" w:lineRule="atLeas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八、亚射联与国际射联如发生设项、规则、报名人数限制等方面的变化，将根据变化情况对本办法进行修订和调整。</w:t>
      </w:r>
    </w:p>
    <w:p>
      <w:pPr>
        <w:pStyle w:val="2"/>
        <w:shd w:val="clear" w:color="auto" w:fill="FFFFFF"/>
        <w:spacing w:before="0" w:beforeAutospacing="0" w:after="0" w:afterAutospacing="0" w:line="450" w:lineRule="atLeas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九、如运动员发生违犯国家法律法规、严重违反国家队队规队纪或在比赛前患有严重伤病等特殊情况，将进行人员调整，按照选拔排名依次递补。</w:t>
      </w:r>
    </w:p>
    <w:p>
      <w:pPr>
        <w:pStyle w:val="2"/>
        <w:shd w:val="clear" w:color="auto" w:fill="FFFFFF"/>
        <w:spacing w:before="0" w:beforeAutospacing="0" w:after="0" w:afterAutospacing="0" w:line="450" w:lineRule="atLeas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十、本选拔办法解释权属国家体育总局射击射箭运动管理中心。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63A9D"/>
    <w:rsid w:val="44163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2019-08-08T00:33:00Z</dcterms:created>
  <dc:creator>❤️Chloe M</dc:creator>
  <cp:lastModifiedBy>❤️Chloe M</cp:lastModifiedBy>
  <dcterms:modified xsi:type="dcterms:W3CDTF">2019-08-08T00:33:58Z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