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1A" w:rsidRDefault="0098381A" w:rsidP="0098381A">
      <w:pPr>
        <w:spacing w:line="360" w:lineRule="auto"/>
        <w:ind w:rightChars="20" w:right="42"/>
        <w:jc w:val="center"/>
        <w:rPr>
          <w:rFonts w:ascii="宋体" w:hAnsi="宋体" w:cs="Calibri"/>
          <w:b/>
          <w:bCs/>
          <w:sz w:val="36"/>
          <w:szCs w:val="36"/>
        </w:rPr>
      </w:pPr>
      <w:bookmarkStart w:id="0" w:name="_Hlk531433196"/>
      <w:r>
        <w:rPr>
          <w:rFonts w:ascii="宋体" w:hAnsi="宋体" w:cs="Calibri"/>
          <w:b/>
          <w:bCs/>
          <w:sz w:val="36"/>
          <w:szCs w:val="36"/>
        </w:rPr>
        <w:t>第二届全国青年运动会跆拳道</w:t>
      </w:r>
      <w:bookmarkEnd w:id="0"/>
      <w:r>
        <w:rPr>
          <w:rFonts w:ascii="宋体" w:hAnsi="宋体" w:cs="Calibri"/>
          <w:b/>
          <w:bCs/>
          <w:sz w:val="36"/>
          <w:szCs w:val="36"/>
        </w:rPr>
        <w:t>竞赛规程</w:t>
      </w:r>
    </w:p>
    <w:p w:rsidR="0098381A" w:rsidRDefault="0098381A" w:rsidP="0098381A">
      <w:pPr>
        <w:adjustRightInd w:val="0"/>
        <w:snapToGrid w:val="0"/>
        <w:spacing w:line="460" w:lineRule="exact"/>
        <w:ind w:rightChars="20" w:right="42"/>
        <w:jc w:val="center"/>
        <w:rPr>
          <w:rFonts w:ascii="宋体" w:hAnsi="宋体" w:cs="Calibri"/>
          <w:b/>
          <w:bCs/>
          <w:sz w:val="36"/>
          <w:szCs w:val="36"/>
        </w:rPr>
      </w:pPr>
    </w:p>
    <w:p w:rsidR="0098381A" w:rsidRDefault="0098381A" w:rsidP="0098381A">
      <w:pPr>
        <w:adjustRightInd w:val="0"/>
        <w:snapToGrid w:val="0"/>
        <w:spacing w:line="460" w:lineRule="exact"/>
        <w:ind w:firstLineChars="200" w:firstLine="643"/>
        <w:contextualSpacing/>
        <w:rPr>
          <w:rFonts w:ascii="仿宋" w:eastAsia="仿宋" w:hAnsi="仿宋" w:cs="仿宋"/>
          <w:bCs/>
          <w:sz w:val="32"/>
          <w:szCs w:val="32"/>
        </w:rPr>
      </w:pPr>
      <w:r>
        <w:rPr>
          <w:rFonts w:ascii="仿宋" w:eastAsia="仿宋" w:hAnsi="仿宋" w:cs="仿宋" w:hint="eastAsia"/>
          <w:b/>
          <w:bCs/>
          <w:sz w:val="32"/>
          <w:szCs w:val="32"/>
        </w:rPr>
        <w:t>一、竞赛时间和地点</w:t>
      </w:r>
    </w:p>
    <w:p w:rsidR="0098381A" w:rsidRDefault="0098381A" w:rsidP="0098381A">
      <w:pPr>
        <w:adjustRightInd w:val="0"/>
        <w:snapToGrid w:val="0"/>
        <w:spacing w:line="4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（一）第一次资格赛</w:t>
      </w:r>
    </w:p>
    <w:p w:rsidR="0098381A" w:rsidRDefault="0098381A" w:rsidP="0098381A">
      <w:pPr>
        <w:pStyle w:val="a3"/>
        <w:widowControl/>
        <w:adjustRightInd w:val="0"/>
        <w:snapToGrid w:val="0"/>
        <w:spacing w:before="0" w:beforeAutospacing="0" w:after="0" w:afterAutospacing="0" w:line="460" w:lineRule="exact"/>
        <w:ind w:firstLineChars="200" w:firstLine="672"/>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时间：2019年5月2日-12日</w:t>
      </w:r>
    </w:p>
    <w:p w:rsidR="0098381A" w:rsidRDefault="0098381A" w:rsidP="0098381A">
      <w:pPr>
        <w:pStyle w:val="a3"/>
        <w:widowControl/>
        <w:adjustRightInd w:val="0"/>
        <w:snapToGrid w:val="0"/>
        <w:spacing w:before="0" w:beforeAutospacing="0" w:after="0" w:afterAutospacing="0" w:line="460" w:lineRule="exact"/>
        <w:ind w:firstLineChars="200" w:firstLine="672"/>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地点：江苏无锡</w:t>
      </w:r>
    </w:p>
    <w:p w:rsidR="0098381A" w:rsidRDefault="0098381A" w:rsidP="0098381A">
      <w:pPr>
        <w:pStyle w:val="a3"/>
        <w:widowControl/>
        <w:adjustRightInd w:val="0"/>
        <w:snapToGrid w:val="0"/>
        <w:spacing w:before="0" w:beforeAutospacing="0" w:after="0" w:afterAutospacing="0" w:line="460" w:lineRule="exact"/>
        <w:ind w:firstLineChars="200" w:firstLine="672"/>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（二）第二次资格赛</w:t>
      </w:r>
    </w:p>
    <w:p w:rsidR="0098381A" w:rsidRDefault="0098381A" w:rsidP="0098381A">
      <w:pPr>
        <w:pStyle w:val="a3"/>
        <w:widowControl/>
        <w:adjustRightInd w:val="0"/>
        <w:snapToGrid w:val="0"/>
        <w:spacing w:before="0" w:beforeAutospacing="0" w:after="0" w:afterAutospacing="0" w:line="460" w:lineRule="exact"/>
        <w:ind w:firstLineChars="200" w:firstLine="672"/>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时间：2019年6月2日-10日</w:t>
      </w:r>
    </w:p>
    <w:p w:rsidR="0098381A" w:rsidRDefault="0098381A" w:rsidP="0098381A">
      <w:pPr>
        <w:pStyle w:val="a3"/>
        <w:widowControl/>
        <w:adjustRightInd w:val="0"/>
        <w:snapToGrid w:val="0"/>
        <w:spacing w:before="0" w:beforeAutospacing="0" w:after="0" w:afterAutospacing="0" w:line="460" w:lineRule="exact"/>
        <w:ind w:firstLineChars="200" w:firstLine="672"/>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地点：湖北宜昌</w:t>
      </w:r>
    </w:p>
    <w:p w:rsidR="0098381A" w:rsidRDefault="0098381A" w:rsidP="0098381A">
      <w:pPr>
        <w:pStyle w:val="a3"/>
        <w:widowControl/>
        <w:adjustRightInd w:val="0"/>
        <w:snapToGrid w:val="0"/>
        <w:spacing w:before="0" w:beforeAutospacing="0" w:after="0" w:afterAutospacing="0" w:line="460" w:lineRule="exact"/>
        <w:ind w:firstLineChars="200" w:firstLine="672"/>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（三）决赛</w:t>
      </w:r>
    </w:p>
    <w:p w:rsidR="0098381A" w:rsidRDefault="0098381A" w:rsidP="0098381A">
      <w:pPr>
        <w:pStyle w:val="a3"/>
        <w:widowControl/>
        <w:adjustRightInd w:val="0"/>
        <w:snapToGrid w:val="0"/>
        <w:spacing w:before="0" w:beforeAutospacing="0" w:after="0" w:afterAutospacing="0" w:line="460" w:lineRule="exact"/>
        <w:ind w:firstLineChars="200" w:firstLine="672"/>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总局统一确定。</w:t>
      </w:r>
    </w:p>
    <w:p w:rsidR="0098381A" w:rsidRDefault="0098381A" w:rsidP="0098381A">
      <w:pPr>
        <w:pStyle w:val="a3"/>
        <w:widowControl/>
        <w:adjustRightInd w:val="0"/>
        <w:snapToGrid w:val="0"/>
        <w:spacing w:before="0" w:beforeAutospacing="0" w:after="0" w:afterAutospacing="0" w:line="460" w:lineRule="exact"/>
        <w:ind w:firstLineChars="200" w:firstLine="672"/>
        <w:jc w:val="both"/>
        <w:rPr>
          <w:rFonts w:ascii="仿宋" w:eastAsia="仿宋" w:hAnsi="仿宋" w:cs="仿宋"/>
          <w:spacing w:val="8"/>
          <w:sz w:val="32"/>
          <w:szCs w:val="32"/>
          <w:shd w:val="clear" w:color="auto" w:fill="FFFFFF"/>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二、竞赛项目</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（一）体校组</w:t>
      </w:r>
    </w:p>
    <w:p w:rsidR="0098381A" w:rsidRDefault="0098381A" w:rsidP="0098381A">
      <w:pPr>
        <w:adjustRightInd w:val="0"/>
        <w:snapToGrid w:val="0"/>
        <w:spacing w:line="4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1.男子</w:t>
      </w:r>
    </w:p>
    <w:p w:rsidR="0098381A" w:rsidRDefault="0098381A" w:rsidP="0098381A">
      <w:pPr>
        <w:adjustRightInd w:val="0"/>
        <w:snapToGrid w:val="0"/>
        <w:spacing w:line="4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竞技：-45公斤级、-48公斤级、-51公斤级、-55公斤级、-59公斤级、-63公斤级、-68公斤级、-73公斤级、-78公斤级、＋78公斤级。</w:t>
      </w:r>
    </w:p>
    <w:p w:rsidR="0098381A" w:rsidRDefault="0098381A" w:rsidP="0098381A">
      <w:pPr>
        <w:widowControl/>
        <w:adjustRightInd w:val="0"/>
        <w:snapToGrid w:val="0"/>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2.女子</w:t>
      </w:r>
    </w:p>
    <w:p w:rsidR="0098381A" w:rsidRDefault="0098381A" w:rsidP="0098381A">
      <w:pPr>
        <w:adjustRightInd w:val="0"/>
        <w:snapToGrid w:val="0"/>
        <w:spacing w:line="4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竞技：-42公斤级、-44公斤级、-46公斤级、-49公斤级、-52公斤级、-55公斤级、-59公斤级、-63公斤级、-68公斤级、＋68公斤级。</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（二）社会俱乐部组</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1.男子</w:t>
      </w:r>
    </w:p>
    <w:p w:rsidR="0098381A" w:rsidRDefault="0098381A" w:rsidP="0098381A">
      <w:pPr>
        <w:adjustRightInd w:val="0"/>
        <w:snapToGrid w:val="0"/>
        <w:spacing w:line="4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竞技：</w:t>
      </w:r>
      <w:r>
        <w:rPr>
          <w:rFonts w:ascii="仿宋" w:eastAsia="仿宋" w:hAnsi="仿宋" w:cs="仿宋" w:hint="eastAsia"/>
          <w:kern w:val="0"/>
          <w:sz w:val="32"/>
          <w:szCs w:val="32"/>
        </w:rPr>
        <w:t>-44公斤级、-47公斤级、-51公斤级、-55公斤级、-59公斤级、-64公斤级、-69公斤级、+69公斤级。</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品势：个人、男子团体。</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2.女子</w:t>
      </w:r>
    </w:p>
    <w:p w:rsidR="0098381A" w:rsidRDefault="0098381A" w:rsidP="0098381A">
      <w:pPr>
        <w:adjustRightInd w:val="0"/>
        <w:snapToGrid w:val="0"/>
        <w:spacing w:line="4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竞技：-40公斤级、-42公斤级、-45公斤级、-48公斤</w:t>
      </w:r>
      <w:r>
        <w:rPr>
          <w:rFonts w:ascii="仿宋" w:eastAsia="仿宋" w:hAnsi="仿宋" w:cs="仿宋" w:hint="eastAsia"/>
          <w:kern w:val="0"/>
          <w:sz w:val="32"/>
          <w:szCs w:val="32"/>
        </w:rPr>
        <w:lastRenderedPageBreak/>
        <w:t>级、-51公斤级、-55公斤级、-59公斤级、+59公斤级。</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品势：个人、女子团体。</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三、参加单位</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（一）单位资格</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1.体校组：各级各类体校均可报名参赛。</w:t>
      </w:r>
    </w:p>
    <w:p w:rsidR="0098381A" w:rsidRDefault="0098381A" w:rsidP="0098381A">
      <w:pPr>
        <w:pStyle w:val="a3"/>
        <w:adjustRightInd w:val="0"/>
        <w:snapToGrid w:val="0"/>
        <w:spacing w:before="0" w:beforeAutospacing="0" w:after="0" w:afterAutospacing="0" w:line="460" w:lineRule="exact"/>
        <w:ind w:firstLine="646"/>
        <w:jc w:val="both"/>
        <w:rPr>
          <w:rFonts w:ascii="仿宋" w:eastAsia="仿宋" w:hAnsi="仿宋" w:cs="仿宋"/>
          <w:sz w:val="32"/>
          <w:szCs w:val="32"/>
        </w:rPr>
      </w:pPr>
      <w:r>
        <w:rPr>
          <w:rFonts w:ascii="仿宋" w:eastAsia="仿宋" w:hAnsi="仿宋" w:cs="仿宋" w:hint="eastAsia"/>
          <w:sz w:val="32"/>
          <w:szCs w:val="32"/>
        </w:rPr>
        <w:t>2.社会俱乐部组：在县级以上民政或工商部门注册登记的俱乐部及各类社会组织均可报名参赛。</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（二）以上各组别比赛的参加单位，需经所在省级体育行政部门登记或备案同意后，方可报名参加比赛。各组别的资格审核报名工作由</w:t>
      </w:r>
      <w:bookmarkStart w:id="1" w:name="_Hlk4072087"/>
      <w:r>
        <w:rPr>
          <w:rFonts w:ascii="仿宋" w:eastAsia="仿宋" w:hAnsi="仿宋" w:cs="仿宋" w:hint="eastAsia"/>
          <w:sz w:val="32"/>
          <w:szCs w:val="32"/>
        </w:rPr>
        <w:t>各省级体育行政部门</w:t>
      </w:r>
      <w:bookmarkEnd w:id="1"/>
      <w:r>
        <w:rPr>
          <w:rFonts w:ascii="仿宋" w:eastAsia="仿宋" w:hAnsi="仿宋" w:cs="仿宋" w:hint="eastAsia"/>
          <w:sz w:val="32"/>
          <w:szCs w:val="32"/>
        </w:rPr>
        <w:t>负责。</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（三）香港、澳门特别行政区以香港、澳门特别行政区代表团名称参加体校组比赛，如有俱乐部参赛，需按要求通过香港、澳门特别行政区报名参加社会俱乐部组比赛。</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（四）海外华人华侨、海外留学生可以个人或运动队身份参加社会俱乐部组比赛。</w:t>
      </w:r>
    </w:p>
    <w:p w:rsidR="0098381A" w:rsidRDefault="0098381A" w:rsidP="0098381A">
      <w:pPr>
        <w:pStyle w:val="a3"/>
        <w:widowControl/>
        <w:adjustRightInd w:val="0"/>
        <w:snapToGrid w:val="0"/>
        <w:spacing w:before="0" w:beforeAutospacing="0" w:after="0" w:afterAutospacing="0" w:line="460" w:lineRule="exact"/>
        <w:jc w:val="both"/>
        <w:rPr>
          <w:rFonts w:ascii="仿宋" w:eastAsia="仿宋" w:hAnsi="仿宋" w:cs="仿宋"/>
          <w:sz w:val="32"/>
          <w:szCs w:val="32"/>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四、运动员资格</w:t>
      </w:r>
    </w:p>
    <w:p w:rsidR="0098381A" w:rsidRDefault="0098381A" w:rsidP="0098381A">
      <w:pPr>
        <w:tabs>
          <w:tab w:val="left" w:pos="3988"/>
        </w:tabs>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（一）参赛资格</w:t>
      </w:r>
      <w:r>
        <w:rPr>
          <w:rFonts w:ascii="仿宋" w:eastAsia="仿宋" w:hAnsi="仿宋" w:cs="仿宋"/>
          <w:sz w:val="32"/>
          <w:szCs w:val="32"/>
        </w:rPr>
        <w:tab/>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1.中华人民共和国公民。</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2.符合条件报名参赛的运动员，自然成为中国跆拳道协会会员，须按《中国跆拳道协会章程》办理入会手续。</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3.香港、澳门参赛运动员应为香港、澳门特别行政区居民中的中国公民或香港、澳门特别行政区的永久性居民。运动员资格由香港、澳门特别行政区审定。</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4.海外华人华侨、海外留学生参赛资格按《第二届全国青年运动会规程总则》第四条第七款相关规定执行。</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（二）参赛运动员必须携带省、市级具有合法资质的医院出具的健康证明（比赛开始之日前计算30天内有效，含心电图和脑电图）。</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（三）参赛运动员符合参赛年龄规定，年龄认定依据法定身份证件（身份证、护照）为准。</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体校组：2002年1月1日至2003年12月31日出生。</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社会俱乐部组：2004年1月1日以后出生。</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（四）参赛组别具体规定</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1.体校组：只接受各级各类体校学生参赛，已经输送至高校或专业队等的适龄运动员，允许其回原输送体校参赛。</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2.社会俱乐部组：中国跆拳道协会个人会员。</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3.报名参加资格赛的运动员资格，由各省级体育行政部门进行审核。各参赛运动员名单统一由中国跆拳道协会进行公示。决赛参赛单位以预赛报名结果为准。</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4.每名运动员只能报1个组别参赛，不允许同时报2个组别参赛。</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r>
        <w:rPr>
          <w:rFonts w:ascii="仿宋" w:eastAsia="仿宋" w:hAnsi="仿宋" w:cs="仿宋" w:hint="eastAsia"/>
          <w:sz w:val="32"/>
          <w:szCs w:val="32"/>
        </w:rPr>
        <w:t>（五）运动员代表资格如出现争议，按照《第二届全国青年运动会竞赛规程总则》有关规定处理，如仍有争议，由相关单位协商解决，如协商未能解决，运动员可选择代表个人参赛或放弃参赛资格，不得补报。</w:t>
      </w:r>
    </w:p>
    <w:p w:rsidR="0098381A" w:rsidRDefault="0098381A" w:rsidP="0098381A">
      <w:pPr>
        <w:adjustRightInd w:val="0"/>
        <w:snapToGrid w:val="0"/>
        <w:spacing w:line="460" w:lineRule="exact"/>
        <w:ind w:firstLineChars="200" w:firstLine="640"/>
        <w:rPr>
          <w:rFonts w:ascii="仿宋" w:eastAsia="仿宋" w:hAnsi="仿宋" w:cs="仿宋"/>
          <w:sz w:val="32"/>
          <w:szCs w:val="32"/>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五、参加办法</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（一）决赛参赛名额按照竞赛规程要求，经资格赛产生。竞技项目（含体校组和社会俱乐部组）将进行2次资格赛，品</w:t>
      </w:r>
      <w:proofErr w:type="gramStart"/>
      <w:r>
        <w:rPr>
          <w:rFonts w:ascii="仿宋" w:eastAsia="仿宋" w:hAnsi="仿宋" w:cs="仿宋" w:hint="eastAsia"/>
          <w:sz w:val="32"/>
          <w:szCs w:val="32"/>
        </w:rPr>
        <w:t>势项目</w:t>
      </w:r>
      <w:proofErr w:type="gramEnd"/>
      <w:r>
        <w:rPr>
          <w:rFonts w:ascii="仿宋" w:eastAsia="仿宋" w:hAnsi="仿宋" w:cs="仿宋" w:hint="eastAsia"/>
          <w:sz w:val="32"/>
          <w:szCs w:val="32"/>
        </w:rPr>
        <w:t>仅进行1次资格赛。</w:t>
      </w:r>
    </w:p>
    <w:p w:rsidR="0098381A" w:rsidRDefault="0098381A" w:rsidP="0098381A">
      <w:pPr>
        <w:pStyle w:val="a3"/>
        <w:adjustRightInd w:val="0"/>
        <w:snapToGrid w:val="0"/>
        <w:spacing w:before="0" w:beforeAutospacing="0" w:after="0" w:afterAutospacing="0" w:line="460" w:lineRule="exact"/>
        <w:ind w:firstLine="646"/>
        <w:jc w:val="both"/>
        <w:rPr>
          <w:rFonts w:ascii="仿宋" w:eastAsia="仿宋" w:hAnsi="仿宋" w:cs="仿宋"/>
          <w:sz w:val="32"/>
          <w:szCs w:val="32"/>
        </w:rPr>
      </w:pPr>
      <w:r>
        <w:rPr>
          <w:rFonts w:ascii="仿宋" w:eastAsia="仿宋" w:hAnsi="仿宋" w:cs="仿宋" w:hint="eastAsia"/>
          <w:sz w:val="32"/>
          <w:szCs w:val="32"/>
        </w:rPr>
        <w:t>（二）凡被国家体育总局选派参加重大国际比赛的国家队运动员，比赛时间与资格赛有冲突的，经国家体育总局批准，运动员可直接获得决赛资格。</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（三）香港特别行政区、澳门特别行政区运动员，直接获得决赛资格。</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（四）各参赛单位限</w:t>
      </w:r>
      <w:proofErr w:type="gramStart"/>
      <w:r>
        <w:rPr>
          <w:rFonts w:ascii="仿宋" w:eastAsia="仿宋" w:hAnsi="仿宋" w:cs="仿宋" w:hint="eastAsia"/>
          <w:sz w:val="32"/>
          <w:szCs w:val="32"/>
        </w:rPr>
        <w:t>报领队</w:t>
      </w:r>
      <w:proofErr w:type="gramEnd"/>
      <w:r>
        <w:rPr>
          <w:rFonts w:ascii="仿宋" w:eastAsia="仿宋" w:hAnsi="仿宋" w:cs="仿宋" w:hint="eastAsia"/>
          <w:sz w:val="32"/>
          <w:szCs w:val="32"/>
        </w:rPr>
        <w:t>1人、教练2人、队医1人。</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（五）各参赛单位每次资格赛报名人数限制</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lastRenderedPageBreak/>
        <w:t>1.竞技项目（含体校组和社会俱乐部组，共2次资格赛）：每次资格赛，各代表团男女各级别限报1人，第一次资格赛已获得资格的级别，不得再报名参加第二次资格赛；</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2.品势项目（社会俱乐部组，仅有1次资格赛）：个人赛各代表团限报男女各4人，团体赛每代表团限报男女各3组，参加个人赛的运动员可兼报团体赛。</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六、竞赛办法</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kern w:val="2"/>
          <w:sz w:val="32"/>
          <w:szCs w:val="32"/>
        </w:rPr>
      </w:pPr>
      <w:r>
        <w:rPr>
          <w:rFonts w:ascii="仿宋" w:eastAsia="仿宋" w:hAnsi="仿宋" w:cs="仿宋" w:hint="eastAsia"/>
          <w:kern w:val="2"/>
          <w:sz w:val="32"/>
          <w:szCs w:val="32"/>
        </w:rPr>
        <w:t>（一）</w:t>
      </w:r>
      <w:r>
        <w:rPr>
          <w:rFonts w:ascii="仿宋" w:eastAsia="仿宋" w:hAnsi="仿宋" w:cs="仿宋" w:hint="eastAsia"/>
          <w:sz w:val="32"/>
          <w:szCs w:val="32"/>
          <w:shd w:val="clear" w:color="auto" w:fill="FFFFFF"/>
        </w:rPr>
        <w:t>执行《世界跆拳道联合会竞赛规则》（竞技比赛执行2018年6月1日版、品</w:t>
      </w:r>
      <w:proofErr w:type="gramStart"/>
      <w:r>
        <w:rPr>
          <w:rFonts w:ascii="仿宋" w:eastAsia="仿宋" w:hAnsi="仿宋" w:cs="仿宋" w:hint="eastAsia"/>
          <w:sz w:val="32"/>
          <w:szCs w:val="32"/>
          <w:shd w:val="clear" w:color="auto" w:fill="FFFFFF"/>
        </w:rPr>
        <w:t>势项目</w:t>
      </w:r>
      <w:proofErr w:type="gramEnd"/>
      <w:r>
        <w:rPr>
          <w:rFonts w:ascii="仿宋" w:eastAsia="仿宋" w:hAnsi="仿宋" w:cs="仿宋" w:hint="eastAsia"/>
          <w:sz w:val="32"/>
          <w:szCs w:val="32"/>
          <w:shd w:val="clear" w:color="auto" w:fill="FFFFFF"/>
        </w:rPr>
        <w:t>比赛执行2014年5月19日版）；竞技项目</w:t>
      </w:r>
      <w:r>
        <w:rPr>
          <w:rFonts w:ascii="仿宋" w:eastAsia="仿宋" w:hAnsi="仿宋" w:cs="仿宋" w:hint="eastAsia"/>
          <w:kern w:val="2"/>
          <w:sz w:val="32"/>
          <w:szCs w:val="32"/>
        </w:rPr>
        <w:t>资格赛、决赛采用单败复活赛制。</w:t>
      </w:r>
    </w:p>
    <w:p w:rsidR="0098381A" w:rsidRDefault="0098381A" w:rsidP="0098381A">
      <w:pPr>
        <w:tabs>
          <w:tab w:val="left" w:pos="1785"/>
        </w:tabs>
        <w:adjustRightInd w:val="0"/>
        <w:snapToGrid w:val="0"/>
        <w:spacing w:line="460" w:lineRule="exact"/>
        <w:ind w:firstLineChars="200"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（二）赛制</w:t>
      </w:r>
    </w:p>
    <w:p w:rsidR="0098381A" w:rsidRDefault="0098381A" w:rsidP="0098381A">
      <w:pPr>
        <w:tabs>
          <w:tab w:val="left" w:pos="1785"/>
        </w:tabs>
        <w:adjustRightInd w:val="0"/>
        <w:snapToGrid w:val="0"/>
        <w:spacing w:line="46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rPr>
        <w:t>1.竞技项目</w:t>
      </w:r>
      <w:r>
        <w:rPr>
          <w:rFonts w:ascii="仿宋" w:eastAsia="仿宋" w:hAnsi="仿宋" w:cs="仿宋" w:hint="eastAsia"/>
          <w:sz w:val="32"/>
          <w:szCs w:val="32"/>
          <w:shd w:val="clear" w:color="auto" w:fill="FFFFFF"/>
        </w:rPr>
        <w:t>采用三局两胜制，每局独立计分：</w:t>
      </w:r>
    </w:p>
    <w:p w:rsidR="0098381A" w:rsidRDefault="0098381A" w:rsidP="0098381A">
      <w:pPr>
        <w:tabs>
          <w:tab w:val="left" w:pos="1785"/>
        </w:tabs>
        <w:adjustRightInd w:val="0"/>
        <w:snapToGrid w:val="0"/>
        <w:spacing w:line="46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（1）两局获胜（2:0），</w:t>
      </w:r>
      <w:proofErr w:type="gramStart"/>
      <w:r>
        <w:rPr>
          <w:rFonts w:ascii="仿宋" w:eastAsia="仿宋" w:hAnsi="仿宋" w:cs="仿宋" w:hint="eastAsia"/>
          <w:sz w:val="32"/>
          <w:szCs w:val="32"/>
          <w:shd w:val="clear" w:color="auto" w:fill="FFFFFF"/>
        </w:rPr>
        <w:t>则比赛</w:t>
      </w:r>
      <w:proofErr w:type="gramEnd"/>
      <w:r>
        <w:rPr>
          <w:rFonts w:ascii="仿宋" w:eastAsia="仿宋" w:hAnsi="仿宋" w:cs="仿宋" w:hint="eastAsia"/>
          <w:sz w:val="32"/>
          <w:szCs w:val="32"/>
          <w:shd w:val="clear" w:color="auto" w:fill="FFFFFF"/>
        </w:rPr>
        <w:t>结束，胜局数多者获胜；</w:t>
      </w:r>
    </w:p>
    <w:p w:rsidR="0098381A" w:rsidRDefault="0098381A" w:rsidP="0098381A">
      <w:pPr>
        <w:pStyle w:val="a3"/>
        <w:widowControl/>
        <w:adjustRightInd w:val="0"/>
        <w:snapToGrid w:val="0"/>
        <w:spacing w:before="0" w:beforeAutospacing="0" w:after="0" w:afterAutospacing="0" w:line="4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（2）两局持平（双方各胜1局，1:1），则进入第三局。第三局比赛结束，得分多者获胜，比分持平，则进入黄金加时赛（金赛局）。</w:t>
      </w:r>
    </w:p>
    <w:p w:rsidR="0098381A" w:rsidRDefault="0098381A" w:rsidP="0098381A">
      <w:pPr>
        <w:pStyle w:val="a3"/>
        <w:widowControl/>
        <w:adjustRightInd w:val="0"/>
        <w:snapToGrid w:val="0"/>
        <w:spacing w:before="0" w:beforeAutospacing="0" w:after="0" w:afterAutospacing="0" w:line="460" w:lineRule="exact"/>
        <w:ind w:firstLineChars="221" w:firstLine="707"/>
        <w:rPr>
          <w:rFonts w:ascii="仿宋" w:eastAsia="仿宋" w:hAnsi="仿宋" w:cs="仿宋"/>
          <w:kern w:val="2"/>
          <w:sz w:val="32"/>
          <w:szCs w:val="32"/>
        </w:rPr>
      </w:pPr>
      <w:r>
        <w:rPr>
          <w:rFonts w:ascii="仿宋" w:eastAsia="仿宋" w:hAnsi="仿宋" w:cs="仿宋" w:hint="eastAsia"/>
          <w:sz w:val="32"/>
          <w:szCs w:val="32"/>
          <w:shd w:val="clear" w:color="auto" w:fill="FFFFFF"/>
        </w:rPr>
        <w:t>2.</w:t>
      </w:r>
      <w:r>
        <w:rPr>
          <w:rFonts w:ascii="仿宋" w:eastAsia="仿宋" w:hAnsi="仿宋" w:cs="仿宋" w:hint="eastAsia"/>
          <w:kern w:val="2"/>
          <w:sz w:val="32"/>
          <w:szCs w:val="32"/>
        </w:rPr>
        <w:t>品势项目</w:t>
      </w:r>
    </w:p>
    <w:p w:rsidR="0098381A" w:rsidRDefault="0098381A" w:rsidP="0098381A">
      <w:pPr>
        <w:pStyle w:val="a3"/>
        <w:widowControl/>
        <w:adjustRightInd w:val="0"/>
        <w:snapToGrid w:val="0"/>
        <w:spacing w:before="0" w:beforeAutospacing="0" w:after="0" w:afterAutospacing="0" w:line="460" w:lineRule="exact"/>
        <w:ind w:firstLineChars="221" w:firstLine="707"/>
        <w:rPr>
          <w:rFonts w:ascii="仿宋" w:eastAsia="仿宋" w:hAnsi="仿宋" w:cs="仿宋"/>
          <w:kern w:val="2"/>
          <w:sz w:val="32"/>
          <w:szCs w:val="32"/>
        </w:rPr>
      </w:pPr>
      <w:r>
        <w:rPr>
          <w:rFonts w:ascii="仿宋" w:eastAsia="仿宋" w:hAnsi="仿宋" w:cs="仿宋" w:hint="eastAsia"/>
          <w:kern w:val="2"/>
          <w:sz w:val="32"/>
          <w:szCs w:val="32"/>
        </w:rPr>
        <w:t>（1）资格赛阶段的比赛采用Cut Off赛制，预赛阶段</w:t>
      </w:r>
      <w:bookmarkStart w:id="2" w:name="_Hlk533276073"/>
      <w:r>
        <w:rPr>
          <w:rFonts w:ascii="仿宋" w:eastAsia="仿宋" w:hAnsi="仿宋" w:cs="仿宋" w:hint="eastAsia"/>
          <w:kern w:val="2"/>
          <w:sz w:val="32"/>
          <w:szCs w:val="32"/>
        </w:rPr>
        <w:t>按得分高低</w:t>
      </w:r>
      <w:bookmarkEnd w:id="2"/>
      <w:r>
        <w:rPr>
          <w:rFonts w:ascii="仿宋" w:eastAsia="仿宋" w:hAnsi="仿宋" w:cs="仿宋" w:hint="eastAsia"/>
          <w:kern w:val="2"/>
          <w:sz w:val="32"/>
          <w:szCs w:val="32"/>
        </w:rPr>
        <w:t>取前32名，排位赛阶段按得分高低取前16名进入决赛阶段的比赛；</w:t>
      </w:r>
    </w:p>
    <w:p w:rsidR="0098381A" w:rsidRDefault="0098381A" w:rsidP="0098381A">
      <w:pPr>
        <w:pStyle w:val="a3"/>
        <w:widowControl/>
        <w:adjustRightInd w:val="0"/>
        <w:snapToGrid w:val="0"/>
        <w:spacing w:before="0" w:beforeAutospacing="0" w:after="0" w:afterAutospacing="0" w:line="460" w:lineRule="exact"/>
        <w:ind w:firstLineChars="221" w:firstLine="707"/>
        <w:rPr>
          <w:rFonts w:ascii="仿宋" w:eastAsia="仿宋" w:hAnsi="仿宋" w:cs="仿宋"/>
          <w:kern w:val="2"/>
          <w:sz w:val="32"/>
          <w:szCs w:val="32"/>
        </w:rPr>
      </w:pPr>
      <w:r>
        <w:rPr>
          <w:rFonts w:ascii="仿宋" w:eastAsia="仿宋" w:hAnsi="仿宋" w:cs="仿宋" w:hint="eastAsia"/>
          <w:kern w:val="2"/>
          <w:sz w:val="32"/>
          <w:szCs w:val="32"/>
        </w:rPr>
        <w:t>（2）决赛阶段采取混合赛制，先通过Cut Off赛，按得分高低决出前8名，再进行单败淘汰赛（PK赛）决出最终成绩。</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kern w:val="2"/>
          <w:sz w:val="32"/>
          <w:szCs w:val="32"/>
        </w:rPr>
      </w:pPr>
      <w:r>
        <w:rPr>
          <w:rFonts w:ascii="仿宋" w:eastAsia="仿宋" w:hAnsi="仿宋" w:cs="仿宋" w:hint="eastAsia"/>
          <w:kern w:val="2"/>
          <w:sz w:val="32"/>
          <w:szCs w:val="32"/>
        </w:rPr>
        <w:t>（三）决赛资格的产生</w:t>
      </w:r>
    </w:p>
    <w:p w:rsidR="0098381A" w:rsidRDefault="0098381A" w:rsidP="0098381A">
      <w:pPr>
        <w:pStyle w:val="a3"/>
        <w:adjustRightInd w:val="0"/>
        <w:snapToGrid w:val="0"/>
        <w:spacing w:before="0" w:beforeAutospacing="0" w:after="0" w:afterAutospacing="0" w:line="460" w:lineRule="exact"/>
        <w:ind w:firstLine="646"/>
        <w:jc w:val="both"/>
        <w:rPr>
          <w:rFonts w:ascii="仿宋" w:eastAsia="仿宋" w:hAnsi="仿宋" w:cs="仿宋"/>
          <w:sz w:val="32"/>
          <w:szCs w:val="32"/>
        </w:rPr>
      </w:pPr>
      <w:r>
        <w:rPr>
          <w:rFonts w:ascii="仿宋" w:eastAsia="仿宋" w:hAnsi="仿宋" w:cs="仿宋" w:hint="eastAsia"/>
          <w:sz w:val="32"/>
          <w:szCs w:val="32"/>
        </w:rPr>
        <w:t>1.竞技项目</w:t>
      </w:r>
    </w:p>
    <w:p w:rsidR="0098381A" w:rsidRDefault="0098381A" w:rsidP="0098381A">
      <w:pPr>
        <w:pStyle w:val="a3"/>
        <w:adjustRightInd w:val="0"/>
        <w:snapToGrid w:val="0"/>
        <w:spacing w:before="0" w:beforeAutospacing="0" w:after="0" w:afterAutospacing="0" w:line="460" w:lineRule="exact"/>
        <w:ind w:firstLine="646"/>
        <w:jc w:val="both"/>
        <w:rPr>
          <w:rFonts w:ascii="仿宋" w:eastAsia="仿宋" w:hAnsi="仿宋" w:cs="仿宋"/>
          <w:sz w:val="32"/>
          <w:szCs w:val="32"/>
        </w:rPr>
      </w:pPr>
      <w:r>
        <w:rPr>
          <w:rFonts w:ascii="仿宋" w:eastAsia="仿宋" w:hAnsi="仿宋" w:cs="仿宋" w:hint="eastAsia"/>
          <w:sz w:val="32"/>
          <w:szCs w:val="32"/>
        </w:rPr>
        <w:t>竞技项目第一站、第二站资格赛采用如下原则产生各级别16个决赛资格：</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（1）第一次资格赛：各级别前8名进入决赛阶段比赛。</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lastRenderedPageBreak/>
        <w:t>（2）第二次资格赛：各参赛单位从第一次资格赛上未获得资格的运动员中选择报名，各级别前8名获得决赛资格，进入决赛阶段比赛；第一次资格赛已获得决赛资格的运动员不得再报第二次资格赛。</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kern w:val="2"/>
          <w:sz w:val="32"/>
          <w:szCs w:val="32"/>
        </w:rPr>
      </w:pPr>
      <w:r>
        <w:rPr>
          <w:rFonts w:ascii="仿宋" w:eastAsia="仿宋" w:hAnsi="仿宋" w:cs="仿宋" w:hint="eastAsia"/>
          <w:sz w:val="32"/>
          <w:szCs w:val="32"/>
        </w:rPr>
        <w:t>2.品</w:t>
      </w:r>
      <w:proofErr w:type="gramStart"/>
      <w:r>
        <w:rPr>
          <w:rFonts w:ascii="仿宋" w:eastAsia="仿宋" w:hAnsi="仿宋" w:cs="仿宋" w:hint="eastAsia"/>
          <w:sz w:val="32"/>
          <w:szCs w:val="32"/>
        </w:rPr>
        <w:t>势项目</w:t>
      </w:r>
      <w:proofErr w:type="gramEnd"/>
      <w:r>
        <w:rPr>
          <w:rFonts w:ascii="仿宋" w:eastAsia="仿宋" w:hAnsi="仿宋" w:cs="仿宋" w:hint="eastAsia"/>
          <w:sz w:val="32"/>
          <w:szCs w:val="32"/>
        </w:rPr>
        <w:t>比赛只进行1次资格赛（安排在第一次资格赛），前16名获得者</w:t>
      </w:r>
      <w:r>
        <w:rPr>
          <w:rFonts w:ascii="仿宋" w:eastAsia="仿宋" w:hAnsi="仿宋" w:cs="仿宋" w:hint="eastAsia"/>
          <w:kern w:val="2"/>
          <w:sz w:val="32"/>
          <w:szCs w:val="32"/>
        </w:rPr>
        <w:t>（按得分高低进行名次排列）</w:t>
      </w:r>
      <w:r>
        <w:rPr>
          <w:rFonts w:ascii="仿宋" w:eastAsia="仿宋" w:hAnsi="仿宋" w:cs="仿宋" w:hint="eastAsia"/>
          <w:sz w:val="32"/>
          <w:szCs w:val="32"/>
        </w:rPr>
        <w:t>进入决赛阶段的比赛</w:t>
      </w:r>
      <w:r>
        <w:rPr>
          <w:rFonts w:ascii="仿宋" w:eastAsia="仿宋" w:hAnsi="仿宋" w:cs="仿宋" w:hint="eastAsia"/>
          <w:kern w:val="2"/>
          <w:sz w:val="32"/>
          <w:szCs w:val="32"/>
        </w:rPr>
        <w:t>。</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3.决赛资格为个人资格。</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kern w:val="2"/>
          <w:sz w:val="32"/>
          <w:szCs w:val="32"/>
        </w:rPr>
      </w:pPr>
      <w:r>
        <w:rPr>
          <w:rFonts w:ascii="仿宋" w:eastAsia="仿宋" w:hAnsi="仿宋" w:cs="仿宋" w:hint="eastAsia"/>
          <w:kern w:val="2"/>
          <w:sz w:val="32"/>
          <w:szCs w:val="32"/>
        </w:rPr>
        <w:t>（四）品</w:t>
      </w:r>
      <w:proofErr w:type="gramStart"/>
      <w:r>
        <w:rPr>
          <w:rFonts w:ascii="仿宋" w:eastAsia="仿宋" w:hAnsi="仿宋" w:cs="仿宋" w:hint="eastAsia"/>
          <w:kern w:val="2"/>
          <w:sz w:val="32"/>
          <w:szCs w:val="32"/>
        </w:rPr>
        <w:t>势项目</w:t>
      </w:r>
      <w:proofErr w:type="gramEnd"/>
      <w:r>
        <w:rPr>
          <w:rFonts w:ascii="仿宋" w:eastAsia="仿宋" w:hAnsi="仿宋" w:cs="仿宋" w:hint="eastAsia"/>
          <w:kern w:val="2"/>
          <w:sz w:val="32"/>
          <w:szCs w:val="32"/>
        </w:rPr>
        <w:t>竞赛内容</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kern w:val="2"/>
          <w:sz w:val="32"/>
          <w:szCs w:val="32"/>
        </w:rPr>
      </w:pPr>
      <w:r>
        <w:rPr>
          <w:rFonts w:ascii="仿宋" w:eastAsia="仿宋" w:hAnsi="仿宋" w:cs="仿宋" w:hint="eastAsia"/>
          <w:kern w:val="2"/>
          <w:sz w:val="32"/>
          <w:szCs w:val="32"/>
        </w:rPr>
        <w:t>采用当场示分的方法。竞赛内容由裁判长在领队会议上根据各组别竞赛内容的范围进行抽签并宣布品</w:t>
      </w:r>
      <w:proofErr w:type="gramStart"/>
      <w:r>
        <w:rPr>
          <w:rFonts w:ascii="仿宋" w:eastAsia="仿宋" w:hAnsi="仿宋" w:cs="仿宋" w:hint="eastAsia"/>
          <w:kern w:val="2"/>
          <w:sz w:val="32"/>
          <w:szCs w:val="32"/>
        </w:rPr>
        <w:t>势比赛</w:t>
      </w:r>
      <w:proofErr w:type="gramEnd"/>
      <w:r>
        <w:rPr>
          <w:rFonts w:ascii="仿宋" w:eastAsia="仿宋" w:hAnsi="仿宋" w:cs="仿宋" w:hint="eastAsia"/>
          <w:kern w:val="2"/>
          <w:sz w:val="32"/>
          <w:szCs w:val="32"/>
        </w:rPr>
        <w:t>内容。</w:t>
      </w:r>
    </w:p>
    <w:p w:rsidR="0098381A" w:rsidRDefault="0098381A" w:rsidP="0098381A">
      <w:pPr>
        <w:pStyle w:val="a3"/>
        <w:widowControl/>
        <w:adjustRightInd w:val="0"/>
        <w:snapToGrid w:val="0"/>
        <w:spacing w:before="0" w:beforeAutospacing="0" w:after="0" w:afterAutospacing="0" w:line="460" w:lineRule="exact"/>
        <w:jc w:val="center"/>
        <w:rPr>
          <w:rFonts w:ascii="仿宋" w:eastAsia="仿宋" w:hAnsi="仿宋" w:cs="仿宋"/>
          <w:kern w:val="2"/>
          <w:sz w:val="32"/>
          <w:szCs w:val="32"/>
        </w:rPr>
      </w:pPr>
      <w:r>
        <w:rPr>
          <w:rFonts w:ascii="仿宋" w:eastAsia="仿宋" w:hAnsi="仿宋" w:cs="仿宋" w:hint="eastAsia"/>
          <w:kern w:val="2"/>
          <w:sz w:val="32"/>
          <w:szCs w:val="32"/>
        </w:rPr>
        <w:t>品势竞赛内容</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065"/>
        <w:gridCol w:w="5506"/>
        <w:gridCol w:w="1596"/>
      </w:tblGrid>
      <w:tr w:rsidR="0098381A" w:rsidTr="00ED0FD0">
        <w:trPr>
          <w:trHeight w:val="315"/>
          <w:jc w:val="center"/>
        </w:trPr>
        <w:tc>
          <w:tcPr>
            <w:tcW w:w="2237" w:type="dxa"/>
            <w:gridSpan w:val="2"/>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竞赛阶段</w:t>
            </w:r>
          </w:p>
        </w:tc>
        <w:tc>
          <w:tcPr>
            <w:tcW w:w="5506"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竞赛范围</w:t>
            </w:r>
          </w:p>
        </w:tc>
        <w:tc>
          <w:tcPr>
            <w:tcW w:w="1596"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竞赛内容</w:t>
            </w:r>
          </w:p>
        </w:tc>
      </w:tr>
      <w:tr w:rsidR="0098381A" w:rsidTr="00ED0FD0">
        <w:trPr>
          <w:trHeight w:val="90"/>
          <w:jc w:val="center"/>
        </w:trPr>
        <w:tc>
          <w:tcPr>
            <w:tcW w:w="1172" w:type="dxa"/>
            <w:vMerge w:val="restart"/>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资格赛</w:t>
            </w:r>
          </w:p>
        </w:tc>
        <w:tc>
          <w:tcPr>
            <w:tcW w:w="1065"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预赛</w:t>
            </w:r>
          </w:p>
        </w:tc>
        <w:tc>
          <w:tcPr>
            <w:tcW w:w="5506"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太极四章、太极五章、太极六章、</w:t>
            </w:r>
            <w:proofErr w:type="gramStart"/>
            <w:r>
              <w:rPr>
                <w:rFonts w:ascii="仿宋" w:eastAsia="仿宋" w:hAnsi="仿宋" w:cs="仿宋" w:hint="eastAsia"/>
                <w:kern w:val="2"/>
                <w:sz w:val="28"/>
                <w:szCs w:val="28"/>
              </w:rPr>
              <w:t>太极七</w:t>
            </w:r>
            <w:proofErr w:type="gramEnd"/>
            <w:r>
              <w:rPr>
                <w:rFonts w:ascii="仿宋" w:eastAsia="仿宋" w:hAnsi="仿宋" w:cs="仿宋" w:hint="eastAsia"/>
                <w:kern w:val="2"/>
                <w:sz w:val="28"/>
                <w:szCs w:val="28"/>
              </w:rPr>
              <w:t>章</w:t>
            </w:r>
          </w:p>
        </w:tc>
        <w:tc>
          <w:tcPr>
            <w:tcW w:w="1596"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抽取两套</w:t>
            </w:r>
          </w:p>
        </w:tc>
      </w:tr>
      <w:tr w:rsidR="0098381A" w:rsidTr="00ED0FD0">
        <w:trPr>
          <w:trHeight w:val="90"/>
          <w:jc w:val="center"/>
        </w:trPr>
        <w:tc>
          <w:tcPr>
            <w:tcW w:w="1172" w:type="dxa"/>
            <w:vMerge/>
            <w:vAlign w:val="center"/>
          </w:tcPr>
          <w:p w:rsidR="0098381A" w:rsidRDefault="0098381A" w:rsidP="00ED0FD0">
            <w:pPr>
              <w:widowControl/>
              <w:adjustRightInd w:val="0"/>
              <w:snapToGrid w:val="0"/>
              <w:spacing w:line="460" w:lineRule="exact"/>
              <w:jc w:val="center"/>
              <w:rPr>
                <w:rFonts w:ascii="仿宋" w:eastAsia="仿宋" w:hAnsi="仿宋" w:cs="仿宋"/>
                <w:sz w:val="28"/>
                <w:szCs w:val="28"/>
              </w:rPr>
            </w:pPr>
          </w:p>
        </w:tc>
        <w:tc>
          <w:tcPr>
            <w:tcW w:w="1065"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排位赛</w:t>
            </w:r>
          </w:p>
        </w:tc>
        <w:tc>
          <w:tcPr>
            <w:tcW w:w="5506"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proofErr w:type="gramStart"/>
            <w:r>
              <w:rPr>
                <w:rFonts w:ascii="仿宋" w:eastAsia="仿宋" w:hAnsi="仿宋" w:cs="仿宋" w:hint="eastAsia"/>
                <w:kern w:val="2"/>
                <w:sz w:val="28"/>
                <w:szCs w:val="28"/>
              </w:rPr>
              <w:t>太极八</w:t>
            </w:r>
            <w:proofErr w:type="gramEnd"/>
            <w:r>
              <w:rPr>
                <w:rFonts w:ascii="仿宋" w:eastAsia="仿宋" w:hAnsi="仿宋" w:cs="仿宋" w:hint="eastAsia"/>
                <w:kern w:val="2"/>
                <w:sz w:val="28"/>
                <w:szCs w:val="28"/>
              </w:rPr>
              <w:t>章、高丽、金刚、太白</w:t>
            </w:r>
          </w:p>
        </w:tc>
        <w:tc>
          <w:tcPr>
            <w:tcW w:w="1596"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抽取两套</w:t>
            </w:r>
          </w:p>
        </w:tc>
      </w:tr>
      <w:tr w:rsidR="0098381A" w:rsidTr="00ED0FD0">
        <w:trPr>
          <w:trHeight w:val="93"/>
          <w:jc w:val="center"/>
        </w:trPr>
        <w:tc>
          <w:tcPr>
            <w:tcW w:w="1172" w:type="dxa"/>
            <w:vMerge w:val="restart"/>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决赛</w:t>
            </w:r>
          </w:p>
        </w:tc>
        <w:tc>
          <w:tcPr>
            <w:tcW w:w="1065"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排位赛</w:t>
            </w:r>
          </w:p>
        </w:tc>
        <w:tc>
          <w:tcPr>
            <w:tcW w:w="5506" w:type="dxa"/>
            <w:vMerge w:val="restart"/>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proofErr w:type="gramStart"/>
            <w:r>
              <w:rPr>
                <w:rFonts w:ascii="仿宋" w:eastAsia="仿宋" w:hAnsi="仿宋" w:cs="仿宋" w:hint="eastAsia"/>
                <w:kern w:val="2"/>
                <w:sz w:val="28"/>
                <w:szCs w:val="28"/>
              </w:rPr>
              <w:t>太极八</w:t>
            </w:r>
            <w:proofErr w:type="gramEnd"/>
            <w:r>
              <w:rPr>
                <w:rFonts w:ascii="仿宋" w:eastAsia="仿宋" w:hAnsi="仿宋" w:cs="仿宋" w:hint="eastAsia"/>
                <w:kern w:val="2"/>
                <w:sz w:val="28"/>
                <w:szCs w:val="28"/>
              </w:rPr>
              <w:t>章、高丽、金刚、太白</w:t>
            </w:r>
          </w:p>
        </w:tc>
        <w:tc>
          <w:tcPr>
            <w:tcW w:w="1596" w:type="dxa"/>
            <w:vMerge w:val="restart"/>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抽取一套</w:t>
            </w:r>
          </w:p>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28"/>
                <w:szCs w:val="28"/>
              </w:rPr>
            </w:pPr>
            <w:r>
              <w:rPr>
                <w:rFonts w:ascii="仿宋" w:eastAsia="仿宋" w:hAnsi="仿宋" w:cs="仿宋" w:hint="eastAsia"/>
                <w:kern w:val="2"/>
                <w:sz w:val="28"/>
                <w:szCs w:val="28"/>
              </w:rPr>
              <w:t>+自由品势</w:t>
            </w:r>
          </w:p>
        </w:tc>
      </w:tr>
      <w:tr w:rsidR="0098381A" w:rsidTr="00ED0FD0">
        <w:trPr>
          <w:trHeight w:val="90"/>
          <w:jc w:val="center"/>
        </w:trPr>
        <w:tc>
          <w:tcPr>
            <w:tcW w:w="1172" w:type="dxa"/>
            <w:vMerge/>
            <w:vAlign w:val="center"/>
          </w:tcPr>
          <w:p w:rsidR="0098381A" w:rsidRDefault="0098381A" w:rsidP="00ED0FD0">
            <w:pPr>
              <w:widowControl/>
              <w:adjustRightInd w:val="0"/>
              <w:snapToGrid w:val="0"/>
              <w:spacing w:line="460" w:lineRule="exact"/>
              <w:jc w:val="center"/>
              <w:rPr>
                <w:rFonts w:ascii="仿宋" w:eastAsia="仿宋" w:hAnsi="仿宋" w:cs="仿宋"/>
                <w:sz w:val="32"/>
                <w:szCs w:val="32"/>
              </w:rPr>
            </w:pPr>
          </w:p>
        </w:tc>
        <w:tc>
          <w:tcPr>
            <w:tcW w:w="1065" w:type="dxa"/>
            <w:vAlign w:val="center"/>
          </w:tcPr>
          <w:p w:rsidR="0098381A" w:rsidRDefault="0098381A" w:rsidP="00ED0FD0">
            <w:pPr>
              <w:pStyle w:val="a3"/>
              <w:widowControl/>
              <w:adjustRightInd w:val="0"/>
              <w:snapToGrid w:val="0"/>
              <w:spacing w:before="0" w:beforeAutospacing="0" w:after="0" w:afterAutospacing="0" w:line="460" w:lineRule="exact"/>
              <w:jc w:val="center"/>
              <w:rPr>
                <w:rFonts w:ascii="仿宋" w:eastAsia="仿宋" w:hAnsi="仿宋" w:cs="仿宋"/>
                <w:kern w:val="2"/>
                <w:sz w:val="32"/>
                <w:szCs w:val="32"/>
              </w:rPr>
            </w:pPr>
            <w:r>
              <w:rPr>
                <w:rFonts w:ascii="仿宋" w:eastAsia="仿宋" w:hAnsi="仿宋" w:cs="仿宋" w:hint="eastAsia"/>
                <w:kern w:val="2"/>
                <w:sz w:val="32"/>
                <w:szCs w:val="32"/>
              </w:rPr>
              <w:t>PK</w:t>
            </w:r>
          </w:p>
        </w:tc>
        <w:tc>
          <w:tcPr>
            <w:tcW w:w="5506" w:type="dxa"/>
            <w:vMerge/>
            <w:vAlign w:val="center"/>
          </w:tcPr>
          <w:p w:rsidR="0098381A" w:rsidRDefault="0098381A" w:rsidP="00ED0FD0">
            <w:pPr>
              <w:widowControl/>
              <w:adjustRightInd w:val="0"/>
              <w:snapToGrid w:val="0"/>
              <w:spacing w:line="460" w:lineRule="exact"/>
              <w:jc w:val="center"/>
              <w:rPr>
                <w:rFonts w:ascii="仿宋" w:eastAsia="仿宋" w:hAnsi="仿宋" w:cs="仿宋"/>
                <w:sz w:val="32"/>
                <w:szCs w:val="32"/>
              </w:rPr>
            </w:pPr>
          </w:p>
        </w:tc>
        <w:tc>
          <w:tcPr>
            <w:tcW w:w="1596" w:type="dxa"/>
            <w:vMerge/>
            <w:vAlign w:val="center"/>
          </w:tcPr>
          <w:p w:rsidR="0098381A" w:rsidRDefault="0098381A" w:rsidP="00ED0FD0">
            <w:pPr>
              <w:widowControl/>
              <w:adjustRightInd w:val="0"/>
              <w:snapToGrid w:val="0"/>
              <w:spacing w:line="460" w:lineRule="exact"/>
              <w:jc w:val="center"/>
              <w:rPr>
                <w:rFonts w:ascii="仿宋" w:eastAsia="仿宋" w:hAnsi="仿宋" w:cs="仿宋"/>
                <w:sz w:val="32"/>
                <w:szCs w:val="32"/>
              </w:rPr>
            </w:pPr>
          </w:p>
        </w:tc>
      </w:tr>
    </w:tbl>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七、奖励办法</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（一）决赛阶段比赛各小项设1金1银2铜，3、4名并列，5-8名并列，9-16名并列。</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（二）有11名（含）以上运动员参加决赛的小项，奖励前8名；有8-10名参加决赛的小项，奖励前6名；有6-7名参加决赛的小项，奖励前3名。</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（三）获得各小项比赛前3名的，颁发金、银、铜牌和获奖证书；获得其他奖励名次的只颁发获奖证书。</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（四）在颁奖仪式上为获得各项目比赛前3名的运动员颁发奖牌时，也为其对应的1名主管教练员颁发获奖证书。</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r>
        <w:rPr>
          <w:rFonts w:ascii="仿宋" w:eastAsia="仿宋" w:hAnsi="仿宋" w:cs="仿宋" w:hint="eastAsia"/>
          <w:sz w:val="32"/>
          <w:szCs w:val="32"/>
        </w:rPr>
        <w:t>（五）设“体育道德风尚奖”。</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z w:val="32"/>
          <w:szCs w:val="32"/>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八、报名和报到</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资格赛阶段报名由中国跆拳道协会组织，参赛单位由各代表团统一报名。决赛阶段报名国家体育总局统一组织。资格赛、决赛报名和报到具体安排另行通知。</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九、技术官员</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（一）资格赛技术官员（含技术代表、仲裁、裁判员等）由中国跆拳道协会选派。决赛技术官员由中国跆拳道协会提出建议名单，报国家体育总局统一审定后公布。</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（二）技术官员在比赛开始前4天报到，比赛结束后1天离会。</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（三）技术官员正式报到至离会期间，组委会将按规定承担其食宿、差旅、市内交通、工作补贴等相关费用。</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十、比赛器材</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kern w:val="2"/>
          <w:sz w:val="32"/>
          <w:szCs w:val="32"/>
        </w:rPr>
      </w:pPr>
      <w:r>
        <w:rPr>
          <w:rFonts w:ascii="仿宋" w:eastAsia="仿宋" w:hAnsi="仿宋" w:cs="仿宋" w:hint="eastAsia"/>
          <w:kern w:val="2"/>
          <w:sz w:val="32"/>
          <w:szCs w:val="32"/>
        </w:rPr>
        <w:t>（一）竞技项目使用中国跆拳道协会认可的电子护具系统。</w:t>
      </w:r>
    </w:p>
    <w:p w:rsidR="0098381A" w:rsidRDefault="0098381A" w:rsidP="0098381A">
      <w:pPr>
        <w:pStyle w:val="a3"/>
        <w:adjustRightInd w:val="0"/>
        <w:snapToGrid w:val="0"/>
        <w:spacing w:before="0" w:beforeAutospacing="0" w:after="0" w:afterAutospacing="0" w:line="460" w:lineRule="exact"/>
        <w:ind w:firstLine="646"/>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（二）组委会提供满足比赛需要的录像审议系统、成绩处理系统、品势记分系统、比赛垫子等竞赛器材。</w:t>
      </w:r>
    </w:p>
    <w:p w:rsidR="0098381A" w:rsidRDefault="0098381A" w:rsidP="0098381A">
      <w:pPr>
        <w:pStyle w:val="a3"/>
        <w:adjustRightInd w:val="0"/>
        <w:snapToGrid w:val="0"/>
        <w:spacing w:before="0" w:beforeAutospacing="0" w:after="0" w:afterAutospacing="0" w:line="460" w:lineRule="exact"/>
        <w:ind w:firstLine="646"/>
        <w:jc w:val="both"/>
        <w:rPr>
          <w:rFonts w:ascii="仿宋" w:eastAsia="仿宋" w:hAnsi="仿宋" w:cs="仿宋"/>
          <w:spacing w:val="8"/>
          <w:sz w:val="32"/>
          <w:szCs w:val="32"/>
          <w:shd w:val="clear" w:color="auto" w:fill="FFFFFF"/>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十一、反兴奋剂</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kern w:val="2"/>
          <w:sz w:val="32"/>
          <w:szCs w:val="32"/>
        </w:rPr>
      </w:pPr>
      <w:r>
        <w:rPr>
          <w:rFonts w:ascii="仿宋" w:eastAsia="仿宋" w:hAnsi="仿宋" w:cs="仿宋" w:hint="eastAsia"/>
          <w:kern w:val="2"/>
          <w:sz w:val="32"/>
          <w:szCs w:val="32"/>
        </w:rPr>
        <w:t>反兴奋剂检查执行《第二届全国青年运动会竞赛规程总则》第十一条有关规定。</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kern w:val="2"/>
          <w:sz w:val="32"/>
          <w:szCs w:val="32"/>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十二、其它</w:t>
      </w:r>
    </w:p>
    <w:p w:rsidR="0098381A" w:rsidRDefault="0098381A" w:rsidP="0098381A">
      <w:pPr>
        <w:pStyle w:val="a3"/>
        <w:adjustRightInd w:val="0"/>
        <w:snapToGrid w:val="0"/>
        <w:spacing w:before="0" w:beforeAutospacing="0" w:after="0" w:afterAutospacing="0" w:line="460" w:lineRule="exact"/>
        <w:ind w:firstLine="646"/>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（－）参加全国青年运动会决赛的跆拳道教练员须持年检合格的中国</w:t>
      </w:r>
      <w:proofErr w:type="gramStart"/>
      <w:r>
        <w:rPr>
          <w:rFonts w:ascii="仿宋" w:eastAsia="仿宋" w:hAnsi="仿宋" w:cs="仿宋" w:hint="eastAsia"/>
          <w:spacing w:val="8"/>
          <w:sz w:val="32"/>
          <w:szCs w:val="32"/>
          <w:shd w:val="clear" w:color="auto" w:fill="FFFFFF"/>
        </w:rPr>
        <w:t>跆</w:t>
      </w:r>
      <w:proofErr w:type="gramEnd"/>
      <w:r>
        <w:rPr>
          <w:rFonts w:ascii="仿宋" w:eastAsia="仿宋" w:hAnsi="仿宋" w:cs="仿宋" w:hint="eastAsia"/>
          <w:spacing w:val="8"/>
          <w:sz w:val="32"/>
          <w:szCs w:val="32"/>
          <w:shd w:val="clear" w:color="auto" w:fill="FFFFFF"/>
        </w:rPr>
        <w:t>协教练员资格证，</w:t>
      </w:r>
      <w:proofErr w:type="gramStart"/>
      <w:r>
        <w:rPr>
          <w:rFonts w:ascii="仿宋" w:eastAsia="仿宋" w:hAnsi="仿宋" w:cs="仿宋" w:hint="eastAsia"/>
          <w:spacing w:val="8"/>
          <w:sz w:val="32"/>
          <w:szCs w:val="32"/>
          <w:shd w:val="clear" w:color="auto" w:fill="FFFFFF"/>
        </w:rPr>
        <w:t>并着</w:t>
      </w:r>
      <w:proofErr w:type="gramEnd"/>
      <w:r>
        <w:rPr>
          <w:rFonts w:ascii="仿宋" w:eastAsia="仿宋" w:hAnsi="仿宋" w:cs="仿宋" w:hint="eastAsia"/>
          <w:spacing w:val="8"/>
          <w:sz w:val="32"/>
          <w:szCs w:val="32"/>
          <w:shd w:val="clear" w:color="auto" w:fill="FFFFFF"/>
        </w:rPr>
        <w:t>运动服及运动鞋上场执教。</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lastRenderedPageBreak/>
        <w:t>（二）参赛运动员领奖时须身着统一的领奖服或跆拳道道服及运动鞋，并按二青会冠名广告相关规定执行。</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（三）技术官员按照组委会统一要求着装、佩戴ID卡，裁判员佩戴号码牌。</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（四）参赛运动员自备</w:t>
      </w:r>
      <w:proofErr w:type="gramStart"/>
      <w:r>
        <w:rPr>
          <w:rFonts w:ascii="仿宋" w:eastAsia="仿宋" w:hAnsi="仿宋" w:cs="仿宋" w:hint="eastAsia"/>
          <w:spacing w:val="8"/>
          <w:sz w:val="32"/>
          <w:szCs w:val="32"/>
          <w:shd w:val="clear" w:color="auto" w:fill="FFFFFF"/>
        </w:rPr>
        <w:t>世跆</w:t>
      </w:r>
      <w:proofErr w:type="gramEnd"/>
      <w:r>
        <w:rPr>
          <w:rFonts w:ascii="仿宋" w:eastAsia="仿宋" w:hAnsi="仿宋" w:cs="仿宋" w:hint="eastAsia"/>
          <w:spacing w:val="8"/>
          <w:sz w:val="32"/>
          <w:szCs w:val="32"/>
          <w:shd w:val="clear" w:color="auto" w:fill="FFFFFF"/>
        </w:rPr>
        <w:t>联认证的道服（品势、竞技）及护具等，以上保护性装备不全或不符合要求者将禁止上场比赛。</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（五）参加竞技项目比赛的运动员需穿着与赛会使用电子护具系统相匹配的感应脚套。</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r>
        <w:rPr>
          <w:rFonts w:ascii="仿宋" w:eastAsia="仿宋" w:hAnsi="仿宋" w:cs="仿宋" w:hint="eastAsia"/>
          <w:spacing w:val="8"/>
          <w:sz w:val="32"/>
          <w:szCs w:val="32"/>
          <w:shd w:val="clear" w:color="auto" w:fill="FFFFFF"/>
        </w:rPr>
        <w:t>（六）运动员、教练员不得穿着带中国（含英文标识CHINA）字样和带有广告字样、标识的道服上场比赛，道服上的所有标识须经中国</w:t>
      </w:r>
      <w:proofErr w:type="gramStart"/>
      <w:r>
        <w:rPr>
          <w:rFonts w:ascii="仿宋" w:eastAsia="仿宋" w:hAnsi="仿宋" w:cs="仿宋" w:hint="eastAsia"/>
          <w:spacing w:val="8"/>
          <w:sz w:val="32"/>
          <w:szCs w:val="32"/>
          <w:shd w:val="clear" w:color="auto" w:fill="FFFFFF"/>
        </w:rPr>
        <w:t>跆</w:t>
      </w:r>
      <w:proofErr w:type="gramEnd"/>
      <w:r>
        <w:rPr>
          <w:rFonts w:ascii="仿宋" w:eastAsia="仿宋" w:hAnsi="仿宋" w:cs="仿宋" w:hint="eastAsia"/>
          <w:spacing w:val="8"/>
          <w:sz w:val="32"/>
          <w:szCs w:val="32"/>
          <w:shd w:val="clear" w:color="auto" w:fill="FFFFFF"/>
        </w:rPr>
        <w:t>协审查后方可使用。</w:t>
      </w:r>
    </w:p>
    <w:p w:rsidR="0098381A" w:rsidRDefault="0098381A" w:rsidP="0098381A">
      <w:pPr>
        <w:pStyle w:val="a3"/>
        <w:widowControl/>
        <w:adjustRightInd w:val="0"/>
        <w:snapToGrid w:val="0"/>
        <w:spacing w:before="0" w:beforeAutospacing="0" w:after="0" w:afterAutospacing="0" w:line="460" w:lineRule="exact"/>
        <w:ind w:firstLine="645"/>
        <w:jc w:val="both"/>
        <w:rPr>
          <w:rFonts w:ascii="仿宋" w:eastAsia="仿宋" w:hAnsi="仿宋" w:cs="仿宋"/>
          <w:spacing w:val="8"/>
          <w:sz w:val="32"/>
          <w:szCs w:val="32"/>
          <w:shd w:val="clear" w:color="auto" w:fill="FFFFFF"/>
        </w:rPr>
      </w:pPr>
    </w:p>
    <w:p w:rsidR="0098381A" w:rsidRDefault="0098381A" w:rsidP="0098381A">
      <w:pPr>
        <w:pStyle w:val="a3"/>
        <w:widowControl/>
        <w:adjustRightInd w:val="0"/>
        <w:snapToGrid w:val="0"/>
        <w:spacing w:before="0" w:beforeAutospacing="0" w:after="0" w:afterAutospacing="0" w:line="460" w:lineRule="exact"/>
        <w:ind w:firstLineChars="200" w:firstLine="674"/>
        <w:jc w:val="both"/>
        <w:outlineLvl w:val="0"/>
        <w:rPr>
          <w:rFonts w:ascii="仿宋" w:eastAsia="仿宋" w:hAnsi="仿宋" w:cs="仿宋"/>
          <w:b/>
          <w:spacing w:val="8"/>
          <w:sz w:val="32"/>
          <w:szCs w:val="32"/>
          <w:shd w:val="clear" w:color="auto" w:fill="FFFFFF"/>
        </w:rPr>
      </w:pPr>
      <w:r>
        <w:rPr>
          <w:rFonts w:ascii="仿宋" w:eastAsia="仿宋" w:hAnsi="仿宋" w:cs="仿宋" w:hint="eastAsia"/>
          <w:b/>
          <w:spacing w:val="8"/>
          <w:sz w:val="32"/>
          <w:szCs w:val="32"/>
          <w:shd w:val="clear" w:color="auto" w:fill="FFFFFF"/>
        </w:rPr>
        <w:t>十三、未尽事宜，另行通知。</w:t>
      </w:r>
    </w:p>
    <w:p w:rsidR="0098381A" w:rsidRDefault="0098381A" w:rsidP="0098381A">
      <w:pPr>
        <w:rPr>
          <w:rFonts w:ascii="仿宋" w:eastAsia="仿宋" w:hAnsi="仿宋" w:cs="仿宋"/>
          <w:bCs/>
          <w:sz w:val="32"/>
          <w:szCs w:val="32"/>
          <w:shd w:val="clear" w:color="auto" w:fill="F7FBFF"/>
        </w:rPr>
      </w:pPr>
    </w:p>
    <w:p w:rsidR="00BC2079" w:rsidRPr="0098381A" w:rsidRDefault="00BC2079">
      <w:bookmarkStart w:id="3" w:name="_GoBack"/>
      <w:bookmarkEnd w:id="3"/>
    </w:p>
    <w:sectPr w:rsidR="00BC2079" w:rsidRPr="009838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1A"/>
    <w:rsid w:val="0098381A"/>
    <w:rsid w:val="00BC2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3A6F8-D509-4C0B-9AD2-88820754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1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8381A"/>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2019-04-03T01:37:00Z</dcterms:created>
  <dcterms:modified xsi:type="dcterms:W3CDTF">2019-04-03T01:38:00Z</dcterms:modified>
</cp:coreProperties>
</file>