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中国铁人三项运动协会</w:t>
      </w:r>
    </w:p>
    <w:p>
      <w:pPr>
        <w:overflowPunct w:val="0"/>
        <w:adjustRightInd w:val="0"/>
        <w:snapToGrid w:val="0"/>
        <w:spacing w:line="60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赛事管理办法</w:t>
      </w:r>
    </w:p>
    <w:p>
      <w:pPr>
        <w:overflowPunct w:val="0"/>
        <w:adjustRightInd w:val="0"/>
        <w:snapToGrid w:val="0"/>
        <w:spacing w:line="600" w:lineRule="exact"/>
        <w:jc w:val="center"/>
        <w:rPr>
          <w:rFonts w:ascii="仿宋_GB2312" w:hAnsi="华文中宋" w:eastAsia="仿宋_GB2312" w:cs="华文中宋"/>
          <w:sz w:val="28"/>
          <w:szCs w:val="28"/>
        </w:rPr>
      </w:pPr>
    </w:p>
    <w:p>
      <w:pPr>
        <w:pStyle w:val="2"/>
        <w:numPr>
          <w:ilvl w:val="255"/>
          <w:numId w:val="0"/>
        </w:numPr>
        <w:snapToGrid w:val="0"/>
        <w:spacing w:before="0" w:after="0" w:line="600" w:lineRule="exact"/>
        <w:jc w:val="center"/>
        <w:rPr>
          <w:rFonts w:ascii="黑体" w:hAnsi="黑体" w:eastAsia="黑体" w:cs="仿宋"/>
          <w:b w:val="0"/>
          <w:bCs/>
          <w:sz w:val="28"/>
          <w:szCs w:val="28"/>
        </w:rPr>
      </w:pPr>
      <w:r>
        <w:rPr>
          <w:rFonts w:hint="eastAsia" w:ascii="黑体" w:hAnsi="黑体" w:eastAsia="黑体" w:cs="仿宋"/>
          <w:b w:val="0"/>
          <w:sz w:val="28"/>
          <w:szCs w:val="28"/>
        </w:rPr>
        <w:t>第一章 总则</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第一条 </w:t>
      </w:r>
      <w:r>
        <w:rPr>
          <w:rFonts w:hint="eastAsia" w:ascii="仿宋_GB2312" w:hAnsi="仿宋" w:eastAsia="仿宋_GB2312" w:cs="仿宋"/>
          <w:sz w:val="28"/>
          <w:szCs w:val="28"/>
        </w:rPr>
        <w:t>为进一步加强铁人三项赛事管理工作，规范铁人三项赛事组织与操作，促进铁人三项运动健康有序发展，根据国家体育总局颁布的《体育赛事管理办法》（体竞字[2015]190号）、</w:t>
      </w:r>
      <w:r>
        <w:rPr>
          <w:rFonts w:hint="eastAsia" w:ascii="仿宋_GB2312" w:hAnsi="仿宋" w:eastAsia="仿宋_GB2312" w:cs="仿宋"/>
          <w:color w:val="auto"/>
          <w:sz w:val="28"/>
          <w:szCs w:val="28"/>
        </w:rPr>
        <w:t>《关于进一步加强体育赛事活动监督管理的意见》（体规字[201</w:t>
      </w:r>
      <w:r>
        <w:rPr>
          <w:rFonts w:ascii="仿宋_GB2312" w:hAnsi="仿宋" w:eastAsia="仿宋_GB2312" w:cs="仿宋"/>
          <w:color w:val="auto"/>
          <w:sz w:val="28"/>
          <w:szCs w:val="28"/>
        </w:rPr>
        <w:t>8</w:t>
      </w:r>
      <w:r>
        <w:rPr>
          <w:rFonts w:hint="eastAsia" w:ascii="仿宋_GB2312" w:hAnsi="仿宋" w:eastAsia="仿宋_GB2312" w:cs="仿宋"/>
          <w:color w:val="auto"/>
          <w:sz w:val="28"/>
          <w:szCs w:val="28"/>
        </w:rPr>
        <w:t>]</w:t>
      </w:r>
      <w:r>
        <w:rPr>
          <w:rFonts w:ascii="仿宋_GB2312" w:hAnsi="仿宋" w:eastAsia="仿宋_GB2312" w:cs="仿宋"/>
          <w:color w:val="auto"/>
          <w:sz w:val="28"/>
          <w:szCs w:val="28"/>
        </w:rPr>
        <w:t>3</w:t>
      </w:r>
      <w:r>
        <w:rPr>
          <w:rFonts w:hint="eastAsia" w:ascii="仿宋_GB2312" w:hAnsi="仿宋" w:eastAsia="仿宋_GB2312" w:cs="仿宋"/>
          <w:color w:val="auto"/>
          <w:sz w:val="28"/>
          <w:szCs w:val="28"/>
        </w:rPr>
        <w:t>号）以</w:t>
      </w:r>
      <w:r>
        <w:rPr>
          <w:rFonts w:hint="eastAsia" w:ascii="仿宋_GB2312" w:hAnsi="仿宋" w:eastAsia="仿宋_GB2312" w:cs="仿宋"/>
          <w:sz w:val="28"/>
          <w:szCs w:val="28"/>
        </w:rPr>
        <w:t>及国际铁人三项联盟（以下简称“国际铁联”）、亚洲铁人三项联合会（以下简称“亚铁联”）有关规则规定，结合铁人三项项目实际，制定本办法。</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第二条 </w:t>
      </w:r>
      <w:r>
        <w:rPr>
          <w:rFonts w:hint="eastAsia" w:ascii="仿宋_GB2312" w:hAnsi="仿宋" w:eastAsia="仿宋_GB2312" w:cs="仿宋"/>
          <w:sz w:val="28"/>
          <w:szCs w:val="28"/>
        </w:rPr>
        <w:t>根据国际铁联竞赛规则，铁人三项是以游泳、自行车、跑步或其中两项组合为基本比赛形式的相关多项运动的统称，包括铁人三项（含标准距离、短距离、超短距离、团体接力距离）、长距离铁人三项（含长距离、中等距离）、铁人两项（骑跑两项、水陆两项、游骑两项，含标准距离、短距离、团体接力距离）、长距离铁人两项（含长距离、中等距离）、冬季铁人三项（含标准距离、短距离、团体接力距离）、越野铁人三项（含标准距离、短距离、团体接力距离）、越野铁人两项（含标准距离、短距离、团体接力距离）、室内铁人三项等。本办法所述铁人三项赛事，如无特别说明，均意指上述所有项目。</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第三条 </w:t>
      </w:r>
      <w:r>
        <w:rPr>
          <w:rFonts w:hint="eastAsia" w:ascii="仿宋_GB2312" w:hAnsi="仿宋" w:eastAsia="仿宋_GB2312" w:cs="仿宋"/>
          <w:sz w:val="28"/>
          <w:szCs w:val="28"/>
        </w:rPr>
        <w:t>本办法适用于在中华人民共和国境内（不含香港、澳门和台湾地区）举办的国际性、全国性、地方性铁人三项比赛。所有赛事举办单位和人员、参赛单位和人员均应遵守此办法。</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第四条 </w:t>
      </w:r>
      <w:r>
        <w:rPr>
          <w:rFonts w:hint="eastAsia" w:ascii="仿宋_GB2312" w:hAnsi="仿宋" w:eastAsia="仿宋_GB2312" w:cs="仿宋"/>
          <w:sz w:val="28"/>
          <w:szCs w:val="28"/>
        </w:rPr>
        <w:t>举办铁人三项赛事，遵循谁主办谁负责的原则，实行分级分类管理。</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第五条 </w:t>
      </w:r>
      <w:r>
        <w:rPr>
          <w:rFonts w:hint="eastAsia" w:ascii="仿宋_GB2312" w:hAnsi="仿宋" w:eastAsia="仿宋_GB2312" w:cs="仿宋"/>
          <w:sz w:val="28"/>
          <w:szCs w:val="28"/>
        </w:rPr>
        <w:t>经国际铁联、亚铁联批准或授权在我国举办的国际比赛，执行国际铁联、亚铁联的有关规则规定。</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第六条 </w:t>
      </w:r>
      <w:r>
        <w:rPr>
          <w:rFonts w:hint="eastAsia" w:ascii="仿宋_GB2312" w:hAnsi="仿宋" w:eastAsia="仿宋_GB2312" w:cs="仿宋"/>
          <w:sz w:val="28"/>
          <w:szCs w:val="28"/>
        </w:rPr>
        <w:t>中国铁人三项运动协会（以下简称“中铁协”）是铁人三项赛事的全国性管理机构</w:t>
      </w:r>
      <w:r>
        <w:rPr>
          <w:rFonts w:hint="eastAsia" w:ascii="仿宋_GB2312" w:hAnsi="仿宋" w:eastAsia="仿宋_GB2312" w:cs="仿宋"/>
          <w:color w:val="auto"/>
          <w:sz w:val="28"/>
          <w:szCs w:val="28"/>
        </w:rPr>
        <w:t>，负责制定与执行赛事管理制度、赛事组织标准与规范、参赛指南、培训办法、奖惩措施、信用管理等，加强</w:t>
      </w:r>
      <w:r>
        <w:rPr>
          <w:rFonts w:hint="eastAsia" w:ascii="仿宋_GB2312" w:hAnsi="仿宋" w:eastAsia="仿宋_GB2312" w:cs="仿宋"/>
          <w:sz w:val="28"/>
          <w:szCs w:val="28"/>
        </w:rPr>
        <w:t>对赛事活动的事中事后监管；负责赛风赛纪管理和行业风气建设，维护铁人三项运动良好形象；负责代表中国与国际组织进行联络。</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第七条 </w:t>
      </w:r>
      <w:r>
        <w:rPr>
          <w:rFonts w:hint="eastAsia" w:ascii="仿宋_GB2312" w:hAnsi="仿宋" w:eastAsia="仿宋_GB2312" w:cs="仿宋"/>
          <w:sz w:val="28"/>
          <w:szCs w:val="28"/>
        </w:rPr>
        <w:t>中铁协负责对其主办、承办或注册认证赛事进行具体监督管理。各级体育主管部门或地方铁人三项运动协会对相应行政区域内的铁人三项赛事实施监管。</w:t>
      </w:r>
    </w:p>
    <w:p>
      <w:pPr>
        <w:tabs>
          <w:tab w:val="left" w:pos="0"/>
        </w:tabs>
        <w:overflowPunct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b/>
          <w:sz w:val="28"/>
          <w:szCs w:val="28"/>
        </w:rPr>
        <w:t xml:space="preserve">第八条 </w:t>
      </w:r>
      <w:r>
        <w:rPr>
          <w:rFonts w:hint="eastAsia" w:ascii="仿宋_GB2312" w:hAnsi="仿宋" w:eastAsia="仿宋_GB2312" w:cs="仿宋"/>
          <w:sz w:val="28"/>
          <w:szCs w:val="28"/>
        </w:rPr>
        <w:t>铁人三项赛事的名称应当与实际内容一致。铁人三项赛事组织机构应当规范使用赛事名称。非中铁协主办或作为主办单位之一的铁人三项赛事，不得冠以“中国”“全国”“国家”“中华”字样或具有类似含义的词汇。未经相应的国际体育组织确认，铁人三项赛事名称不得冠以 “世界”、“亚洲”字样或具有类似含义的词汇。</w:t>
      </w:r>
    </w:p>
    <w:p>
      <w:pPr>
        <w:tabs>
          <w:tab w:val="left" w:pos="0"/>
        </w:tabs>
        <w:overflowPunct w:val="0"/>
        <w:snapToGrid w:val="0"/>
        <w:spacing w:line="600" w:lineRule="exact"/>
        <w:jc w:val="left"/>
        <w:rPr>
          <w:rFonts w:ascii="仿宋_GB2312" w:hAnsi="仿宋" w:eastAsia="仿宋_GB2312" w:cs="仿宋"/>
          <w:sz w:val="28"/>
          <w:szCs w:val="28"/>
        </w:rPr>
      </w:pPr>
    </w:p>
    <w:p>
      <w:pPr>
        <w:pStyle w:val="2"/>
        <w:numPr>
          <w:ilvl w:val="255"/>
          <w:numId w:val="0"/>
        </w:numPr>
        <w:snapToGrid w:val="0"/>
        <w:spacing w:before="0" w:after="0" w:line="600" w:lineRule="exact"/>
        <w:jc w:val="center"/>
        <w:rPr>
          <w:rFonts w:ascii="黑体" w:hAnsi="黑体" w:eastAsia="黑体" w:cs="仿宋"/>
          <w:b w:val="0"/>
          <w:sz w:val="28"/>
          <w:szCs w:val="28"/>
        </w:rPr>
      </w:pPr>
      <w:r>
        <w:rPr>
          <w:rFonts w:hint="eastAsia" w:ascii="黑体" w:hAnsi="黑体" w:eastAsia="黑体" w:cs="仿宋"/>
          <w:b w:val="0"/>
          <w:sz w:val="28"/>
          <w:szCs w:val="28"/>
        </w:rPr>
        <w:t>第二章 赛事分类</w:t>
      </w:r>
    </w:p>
    <w:p>
      <w:p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第九条 </w:t>
      </w:r>
      <w:r>
        <w:rPr>
          <w:rFonts w:hint="eastAsia" w:ascii="仿宋_GB2312" w:hAnsi="仿宋" w:eastAsia="仿宋_GB2312" w:cs="仿宋"/>
          <w:sz w:val="28"/>
          <w:szCs w:val="28"/>
        </w:rPr>
        <w:t>铁人三项赛事分为国际铁人三项比赛、全国铁人三项比赛和地方铁人三项比赛。</w:t>
      </w:r>
    </w:p>
    <w:p>
      <w:p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第十条 </w:t>
      </w:r>
      <w:r>
        <w:rPr>
          <w:rFonts w:hint="eastAsia" w:ascii="仿宋_GB2312" w:hAnsi="仿宋" w:eastAsia="仿宋_GB2312" w:cs="仿宋"/>
          <w:sz w:val="28"/>
          <w:szCs w:val="28"/>
        </w:rPr>
        <w:t>国际铁人三项比赛</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按照主办方、比赛性质和重要程度分为A、B、C三类：</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（一）A类国际铁人三项比赛包括：由国际铁联、亚铁联、体育总局主办，或交由中铁协主办的重要国际铁人三项比赛。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（二）B类国际铁人三项比赛包括：由中铁协主导，与地方共同主办或交由地方承办的国际铁人三项比赛。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（三）C类国际铁人三项比赛包括：地方自行举办的国际铁人三项比赛，由地方主导，中铁协根据比赛主办方需要给予技术指导与支持。</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b/>
          <w:sz w:val="28"/>
          <w:szCs w:val="28"/>
        </w:rPr>
        <w:t xml:space="preserve">第十一条 </w:t>
      </w:r>
      <w:r>
        <w:rPr>
          <w:rFonts w:hint="eastAsia" w:ascii="仿宋_GB2312" w:hAnsi="仿宋" w:eastAsia="仿宋_GB2312" w:cs="仿宋"/>
          <w:sz w:val="28"/>
          <w:szCs w:val="28"/>
        </w:rPr>
        <w:t>全国铁人三项比赛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（一</w:t>
      </w:r>
      <w:r>
        <w:rPr>
          <w:rFonts w:ascii="仿宋_GB2312" w:hAnsi="仿宋" w:eastAsia="仿宋_GB2312" w:cs="仿宋"/>
          <w:sz w:val="28"/>
          <w:szCs w:val="28"/>
        </w:rPr>
        <w:t>）</w:t>
      </w:r>
      <w:r>
        <w:rPr>
          <w:rFonts w:hint="eastAsia" w:ascii="仿宋_GB2312" w:hAnsi="仿宋" w:eastAsia="仿宋_GB2312" w:cs="仿宋"/>
          <w:sz w:val="28"/>
          <w:szCs w:val="28"/>
        </w:rPr>
        <w:t>体育总局主办的全国综合性运动会铁人三项比赛。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（二）中铁协主办的全国性铁人三项比赛。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（三）全国性行业体育协会主办的铁人三项比赛。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b/>
          <w:sz w:val="28"/>
          <w:szCs w:val="28"/>
        </w:rPr>
        <w:t xml:space="preserve">第十二条 </w:t>
      </w:r>
      <w:r>
        <w:rPr>
          <w:rFonts w:hint="eastAsia" w:ascii="仿宋_GB2312" w:hAnsi="仿宋" w:eastAsia="仿宋_GB2312" w:cs="仿宋"/>
          <w:sz w:val="28"/>
          <w:szCs w:val="28"/>
        </w:rPr>
        <w:t>地方铁人三项比赛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地方政府体育主管部门或地方铁人三项协会主办的铁人三项比赛。</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p>
    <w:p>
      <w:pPr>
        <w:pStyle w:val="2"/>
        <w:numPr>
          <w:ilvl w:val="255"/>
          <w:numId w:val="0"/>
        </w:numPr>
        <w:snapToGrid w:val="0"/>
        <w:spacing w:before="0" w:after="0" w:line="600" w:lineRule="exact"/>
        <w:jc w:val="center"/>
        <w:rPr>
          <w:rFonts w:ascii="黑体" w:hAnsi="黑体" w:eastAsia="黑体" w:cs="仿宋"/>
          <w:b w:val="0"/>
          <w:sz w:val="28"/>
          <w:szCs w:val="28"/>
        </w:rPr>
      </w:pPr>
      <w:r>
        <w:rPr>
          <w:rFonts w:hint="eastAsia" w:ascii="黑体" w:hAnsi="黑体" w:eastAsia="黑体" w:cs="仿宋"/>
          <w:b w:val="0"/>
          <w:sz w:val="28"/>
          <w:szCs w:val="28"/>
        </w:rPr>
        <w:t>第三章 赛事申办和注册认证</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第十三条 </w:t>
      </w:r>
      <w:r>
        <w:rPr>
          <w:rFonts w:hint="eastAsia" w:ascii="仿宋_GB2312" w:hAnsi="仿宋" w:eastAsia="仿宋_GB2312" w:cs="仿宋"/>
          <w:sz w:val="28"/>
          <w:szCs w:val="28"/>
        </w:rPr>
        <w:t>国际铁人三项比赛申办和审批</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一）申办A类国际铁人三项比赛，需向中铁协提交申办报告和材料，由中铁协审核后报国家体育总局审批，经批准后向国际组织申报；申办成功后，列入国家体育总局年度外事活动计划，以及办理立项审批手续。</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（二）申办B类国际铁人三项比赛，需向中铁协提交申办报告和材料，由中铁协审核后报国家体育总局列入年度外事活动计划，由承办地有外事审批权的地方人民政府或有关部门审批。</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（三）申办C类国际铁人三项比赛，需向中铁协报备，由地方有外事审批权的地方人民政府或有关部门审批。</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第十四条 </w:t>
      </w:r>
      <w:r>
        <w:rPr>
          <w:rFonts w:hint="eastAsia" w:ascii="仿宋_GB2312" w:hAnsi="仿宋" w:eastAsia="仿宋_GB2312" w:cs="仿宋"/>
          <w:sz w:val="28"/>
          <w:szCs w:val="28"/>
        </w:rPr>
        <w:t>全国铁人三项比赛申办和承办单位确定</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（一）中铁协主办的全国铁人三项比赛，由中铁协确定承办单位和举办地点。</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（二）中铁协将公开发布赛事申办邀请，并根据各申办单位场地条件、气候条件、保障条件、以往办赛经验和水平等因素，综合评估并确定各项比赛承办单位。</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（三）市场基础较好的全国铁人三项比赛，中铁协将公开招选赛事运营方，并与赛事运营方共同确定各站比赛承办单位。</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第十五条 </w:t>
      </w:r>
      <w:r>
        <w:rPr>
          <w:rFonts w:hint="eastAsia" w:ascii="仿宋_GB2312" w:hAnsi="仿宋" w:eastAsia="仿宋_GB2312" w:cs="仿宋"/>
          <w:sz w:val="28"/>
          <w:szCs w:val="28"/>
        </w:rPr>
        <w:t>地方铁人三项比赛注册认证</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地方铁人三项比赛可申请在中铁协注册认证。中铁协注册认证赛事相关办赛标准与规范由中铁协另行制定并发布。</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中铁协注册认证赛事根据办赛水平分为A、B、C三个级别。依据中铁协制定的比赛积分排名办法，参赛运动员可分别获得相应级别的积分。</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中铁协根据比赛监督与评价报告，结合参赛人员对比赛的评价和反馈意见，评定下一年度相关注册认证赛事级别。首次成为中铁协注册认证赛事，初始级别均为C级。</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第十六条 </w:t>
      </w:r>
      <w:r>
        <w:rPr>
          <w:rFonts w:hint="eastAsia" w:ascii="仿宋_GB2312" w:hAnsi="仿宋" w:eastAsia="仿宋_GB2312" w:cs="仿宋"/>
          <w:sz w:val="28"/>
          <w:szCs w:val="28"/>
        </w:rPr>
        <w:t>由社会中介机构举办的商业性、群众性铁人三项比赛取消审批，合法的法律主体均可依法组织与举办，并按照“属地管理”的原则，根据地方有关规定，自行办理相关手续。</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第十七条 </w:t>
      </w:r>
      <w:r>
        <w:rPr>
          <w:rFonts w:hint="eastAsia" w:ascii="仿宋_GB2312" w:hAnsi="仿宋" w:eastAsia="仿宋_GB2312" w:cs="仿宋"/>
          <w:sz w:val="28"/>
          <w:szCs w:val="28"/>
        </w:rPr>
        <w:t>铁人三项比赛申办方或注册认证申请方应当具备下列条件：</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（一）能够独立承担民事责任；</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（二）拥有与办赛需要相适应的组织机构和管理人员；</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（三）已经制定具体的竞赛规程和比赛组织实施方案；</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（四）拥有与办赛需要相适应的经费来源；</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（五）已经确定比赛所需的场地、设施和器材；</w:t>
      </w:r>
    </w:p>
    <w:p>
      <w:p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（六）选派骨干竞赛管理人员参加中铁协组织的赛事管理培训；</w:t>
      </w:r>
    </w:p>
    <w:p>
      <w:p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（七）以往办赛无不良记录。</w:t>
      </w:r>
    </w:p>
    <w:p>
      <w:p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第十八条 </w:t>
      </w:r>
      <w:r>
        <w:rPr>
          <w:rFonts w:hint="eastAsia" w:ascii="仿宋_GB2312" w:hAnsi="仿宋" w:eastAsia="仿宋_GB2312" w:cs="仿宋"/>
          <w:sz w:val="28"/>
          <w:szCs w:val="28"/>
        </w:rPr>
        <w:t>申办国际铁人三项比赛和全国铁人三项比赛，须取得赛事举办地省级体育主管部门的同意。申请注册认证中铁协赛事，须取得赛事举办地政府体育主管部门或同级铁人三项协会的同意。</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b/>
          <w:sz w:val="28"/>
          <w:szCs w:val="28"/>
        </w:rPr>
        <w:t xml:space="preserve"> 第十九条 </w:t>
      </w:r>
      <w:r>
        <w:rPr>
          <w:rFonts w:hint="eastAsia" w:ascii="仿宋_GB2312" w:hAnsi="仿宋" w:eastAsia="仿宋_GB2312" w:cs="仿宋"/>
          <w:sz w:val="28"/>
          <w:szCs w:val="28"/>
        </w:rPr>
        <w:t>国际铁人三项比赛和全国铁人三项比赛申办单位，应于所申办比赛前一年11月底前（重大国际赛事申办时间根据国际组织申办文件要求确定）向中铁协提交申办文件，申办文件包含申办函、申办材料以及省级体育主管部门的同意函。</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一、申办函应包含以下内容：</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（一）办赛宗旨、理由和所具备的条件；</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（二）拟申办赛事的名称、时间、地点和规模；</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（三）建议的主办单位和承办单位；</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（四）办赛经费来源。</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二、申办材料应包含以下内容：</w:t>
      </w:r>
    </w:p>
    <w:p>
      <w:pPr>
        <w:pStyle w:val="11"/>
        <w:adjustRightInd w:val="0"/>
        <w:snapToGrid w:val="0"/>
        <w:spacing w:line="6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（一）游泳比赛水域的水质检测报告：水样应取自游泳水域内3个不同的区域、分别检测，出具3个区域的检测指标结果。检测指标至少包括：</w:t>
      </w:r>
    </w:p>
    <w:p>
      <w:pPr>
        <w:pStyle w:val="11"/>
        <w:adjustRightInd w:val="0"/>
        <w:snapToGrid w:val="0"/>
        <w:spacing w:line="60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1.PH值；</w:t>
      </w:r>
    </w:p>
    <w:p>
      <w:pPr>
        <w:pStyle w:val="11"/>
        <w:adjustRightInd w:val="0"/>
        <w:snapToGrid w:val="0"/>
        <w:spacing w:line="60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2.每100毫升水中肠球菌（Entero-cocci）的含量（单位：ufc/100ml）；</w:t>
      </w:r>
    </w:p>
    <w:p>
      <w:pPr>
        <w:pStyle w:val="11"/>
        <w:adjustRightInd w:val="0"/>
        <w:snapToGrid w:val="0"/>
        <w:spacing w:line="60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3.每100毫升水中大肠杆菌（Escherichiacoli E.Coli）的含量（单位：ufc/100ml）；</w:t>
      </w:r>
    </w:p>
    <w:p>
      <w:pPr>
        <w:pStyle w:val="11"/>
        <w:adjustRightInd w:val="0"/>
        <w:snapToGrid w:val="0"/>
        <w:spacing w:line="600"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4.每1毫升水中蓝藻的含量（仅限内陆水提供，单位：cells/ml）。</w:t>
      </w:r>
    </w:p>
    <w:p>
      <w:pPr>
        <w:tabs>
          <w:tab w:val="left" w:pos="0"/>
          <w:tab w:val="left" w:pos="1418"/>
        </w:tabs>
        <w:autoSpaceDE w:val="0"/>
        <w:autoSpaceDN w:val="0"/>
        <w:adjustRightInd w:val="0"/>
        <w:snapToGrid w:val="0"/>
        <w:spacing w:line="600" w:lineRule="exact"/>
        <w:rPr>
          <w:rFonts w:ascii="仿宋_GB2312" w:hAnsi="仿宋" w:eastAsia="仿宋_GB2312" w:cs="仿宋"/>
          <w:sz w:val="28"/>
          <w:szCs w:val="28"/>
        </w:rPr>
      </w:pPr>
      <w:r>
        <w:rPr>
          <w:rFonts w:hint="eastAsia" w:ascii="仿宋_GB2312" w:hAnsi="仿宋" w:eastAsia="仿宋_GB2312" w:cs="仿宋"/>
          <w:bCs/>
          <w:sz w:val="28"/>
          <w:szCs w:val="28"/>
        </w:rPr>
        <w:t xml:space="preserve">    （二）</w:t>
      </w:r>
      <w:r>
        <w:rPr>
          <w:rFonts w:hint="eastAsia" w:ascii="仿宋_GB2312" w:hAnsi="仿宋" w:eastAsia="仿宋_GB2312" w:cs="仿宋"/>
          <w:sz w:val="28"/>
          <w:szCs w:val="28"/>
        </w:rPr>
        <w:t>建议比赛场地和路线设计方案；</w:t>
      </w:r>
    </w:p>
    <w:p>
      <w:pPr>
        <w:tabs>
          <w:tab w:val="left" w:pos="0"/>
          <w:tab w:val="left" w:pos="1134"/>
        </w:tabs>
        <w:adjustRightInd w:val="0"/>
        <w:snapToGrid w:val="0"/>
        <w:spacing w:line="600" w:lineRule="exact"/>
        <w:rPr>
          <w:rFonts w:ascii="仿宋_GB2312" w:hAnsi="仿宋" w:eastAsia="仿宋_GB2312" w:cs="仿宋"/>
          <w:sz w:val="28"/>
          <w:szCs w:val="28"/>
        </w:rPr>
      </w:pPr>
      <w:r>
        <w:rPr>
          <w:rFonts w:hint="eastAsia" w:ascii="仿宋_GB2312" w:hAnsi="仿宋" w:eastAsia="仿宋_GB2312" w:cs="仿宋"/>
          <w:sz w:val="28"/>
          <w:szCs w:val="28"/>
        </w:rPr>
        <w:t xml:space="preserve">    （三）拟定比赛时间的游泳比赛水域水温、潮汐表（如有），比赛地的海拔高度、气温、湿度、雨量、风力风向等自然地理资料；</w:t>
      </w:r>
    </w:p>
    <w:p>
      <w:pPr>
        <w:tabs>
          <w:tab w:val="left" w:pos="0"/>
          <w:tab w:val="left" w:pos="1134"/>
        </w:tabs>
        <w:adjustRightInd w:val="0"/>
        <w:snapToGrid w:val="0"/>
        <w:spacing w:line="600" w:lineRule="exact"/>
        <w:rPr>
          <w:rFonts w:ascii="仿宋_GB2312" w:hAnsi="仿宋" w:eastAsia="仿宋_GB2312" w:cs="仿宋"/>
          <w:sz w:val="28"/>
          <w:szCs w:val="28"/>
        </w:rPr>
      </w:pPr>
      <w:r>
        <w:rPr>
          <w:rFonts w:hint="eastAsia" w:ascii="仿宋_GB2312" w:hAnsi="仿宋" w:eastAsia="仿宋_GB2312" w:cs="仿宋"/>
          <w:sz w:val="28"/>
          <w:szCs w:val="28"/>
        </w:rPr>
        <w:t xml:space="preserve">    （四）国际、国内交通状况；</w:t>
      </w:r>
    </w:p>
    <w:p>
      <w:pPr>
        <w:tabs>
          <w:tab w:val="left" w:pos="0"/>
          <w:tab w:val="left" w:pos="1134"/>
        </w:tabs>
        <w:adjustRightInd w:val="0"/>
        <w:snapToGrid w:val="0"/>
        <w:spacing w:line="600" w:lineRule="exact"/>
        <w:rPr>
          <w:rFonts w:ascii="仿宋_GB2312" w:hAnsi="仿宋" w:eastAsia="仿宋_GB2312" w:cs="仿宋"/>
          <w:sz w:val="28"/>
          <w:szCs w:val="28"/>
        </w:rPr>
      </w:pPr>
      <w:r>
        <w:rPr>
          <w:rFonts w:hint="eastAsia" w:ascii="仿宋_GB2312" w:hAnsi="仿宋" w:eastAsia="仿宋_GB2312" w:cs="仿宋"/>
          <w:sz w:val="28"/>
          <w:szCs w:val="28"/>
        </w:rPr>
        <w:t xml:space="preserve">    （五）食宿等接待条件；</w:t>
      </w:r>
    </w:p>
    <w:p>
      <w:pPr>
        <w:numPr>
          <w:ilvl w:val="255"/>
          <w:numId w:val="0"/>
        </w:numPr>
        <w:tabs>
          <w:tab w:val="left" w:pos="0"/>
          <w:tab w:val="left" w:pos="1134"/>
        </w:tabs>
        <w:adjustRightInd w:val="0"/>
        <w:snapToGrid w:val="0"/>
        <w:spacing w:line="6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（六）办赛历史和经验；</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（七）比赛筹备与组织工作初步方案。</w:t>
      </w:r>
    </w:p>
    <w:p>
      <w:p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第二十条 </w:t>
      </w:r>
      <w:r>
        <w:rPr>
          <w:rFonts w:hint="eastAsia" w:ascii="仿宋_GB2312" w:hAnsi="仿宋" w:eastAsia="仿宋_GB2312" w:cs="仿宋"/>
          <w:sz w:val="28"/>
          <w:szCs w:val="28"/>
        </w:rPr>
        <w:t>地方铁人三项比赛向中铁协申请注册认证，应至少于比赛前3个月向中铁协提交注册认证申请文件，申请文件包含注册认证申请函、申请材料以及赛事举办地政府体育主管部门或同级铁人三项协会的同意函。</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一、注册认证申请函应包含以下内容：</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（一）办赛宗旨、理由和所具备的条件；</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（二）拟注册认证赛事的名称、时间、地点和规模；</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（三）建议的主办单位和承办单位；</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（四）办赛经费来源。</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二、申请材料应包含以下内容：</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（一）拟定比赛游泳水域的水质检测报告（检测标准同上）；</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（二）拟定的比赛场地和路线设计方案；</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（三）拟定的竞赛规程；</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（四）办赛历史和经验。</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b/>
          <w:sz w:val="28"/>
          <w:szCs w:val="28"/>
        </w:rPr>
        <w:t xml:space="preserve">第二十一条 </w:t>
      </w:r>
      <w:r>
        <w:rPr>
          <w:rFonts w:hint="eastAsia" w:ascii="仿宋_GB2312" w:hAnsi="仿宋" w:eastAsia="仿宋_GB2312" w:cs="仿宋"/>
          <w:sz w:val="28"/>
          <w:szCs w:val="28"/>
        </w:rPr>
        <w:t xml:space="preserve">中铁协收到申办文件或注册认证申请文件后，将对办赛条件进行审查评估。首次申办或申请注册认证的赛事，中铁协将派技术官员对比赛场地进行实地考察。 </w:t>
      </w:r>
    </w:p>
    <w:p>
      <w:pPr>
        <w:tabs>
          <w:tab w:val="left" w:pos="0"/>
        </w:tabs>
        <w:overflowPunct w:val="0"/>
        <w:adjustRightInd w:val="0"/>
        <w:snapToGrid w:val="0"/>
        <w:spacing w:line="600" w:lineRule="exact"/>
        <w:ind w:firstLine="560"/>
        <w:jc w:val="left"/>
        <w:rPr>
          <w:rFonts w:ascii="仿宋_GB2312" w:hAnsi="仿宋" w:eastAsia="仿宋_GB2312" w:cs="仿宋"/>
          <w:sz w:val="28"/>
          <w:szCs w:val="28"/>
        </w:rPr>
      </w:pPr>
      <w:r>
        <w:rPr>
          <w:rFonts w:hint="eastAsia" w:ascii="仿宋_GB2312" w:hAnsi="仿宋" w:eastAsia="仿宋_GB2312" w:cs="仿宋"/>
          <w:b/>
          <w:sz w:val="28"/>
          <w:szCs w:val="28"/>
        </w:rPr>
        <w:t xml:space="preserve">第二十二条 </w:t>
      </w:r>
      <w:r>
        <w:rPr>
          <w:rFonts w:hint="eastAsia" w:ascii="仿宋_GB2312" w:hAnsi="仿宋" w:eastAsia="仿宋_GB2312" w:cs="仿宋"/>
          <w:sz w:val="28"/>
          <w:szCs w:val="28"/>
        </w:rPr>
        <w:t>经审查符合办赛条件的赛区，中铁协将根据本办法说明的程序，向国家体育总局报批、备案，或确定承办单位，或给予注册认证。</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b/>
          <w:sz w:val="28"/>
          <w:szCs w:val="28"/>
        </w:rPr>
        <w:t xml:space="preserve"> 第二十三条 </w:t>
      </w:r>
      <w:r>
        <w:rPr>
          <w:rFonts w:hint="eastAsia" w:ascii="仿宋_GB2312" w:hAnsi="仿宋" w:eastAsia="仿宋_GB2312" w:cs="仿宋"/>
          <w:sz w:val="28"/>
          <w:szCs w:val="28"/>
        </w:rPr>
        <w:t>成功申办或注册认证的赛事，中铁协将根据新一年度国际、国内赛事日程等因素，综合考虑、统筹安排全年各项比赛时间。</w:t>
      </w:r>
    </w:p>
    <w:p>
      <w:pPr>
        <w:numPr>
          <w:ilvl w:val="255"/>
          <w:numId w:val="0"/>
        </w:numPr>
        <w:tabs>
          <w:tab w:val="left" w:pos="960"/>
        </w:tabs>
        <w:adjustRightInd w:val="0"/>
        <w:snapToGrid w:val="0"/>
        <w:spacing w:line="600" w:lineRule="exact"/>
        <w:ind w:firstLine="562" w:firstLineChars="200"/>
        <w:rPr>
          <w:rFonts w:ascii="仿宋_GB2312" w:hAnsi="仿宋" w:eastAsia="仿宋_GB2312" w:cs="仿宋"/>
          <w:sz w:val="28"/>
          <w:szCs w:val="28"/>
        </w:rPr>
      </w:pPr>
      <w:r>
        <w:rPr>
          <w:rFonts w:hint="eastAsia" w:ascii="仿宋_GB2312" w:hAnsi="仿宋" w:eastAsia="仿宋_GB2312" w:cs="仿宋"/>
          <w:b/>
          <w:sz w:val="28"/>
          <w:szCs w:val="28"/>
        </w:rPr>
        <w:t xml:space="preserve">第二十四条 </w:t>
      </w:r>
      <w:r>
        <w:rPr>
          <w:rFonts w:hint="eastAsia" w:ascii="仿宋_GB2312" w:hAnsi="仿宋" w:eastAsia="仿宋_GB2312" w:cs="仿宋"/>
          <w:sz w:val="28"/>
          <w:szCs w:val="28"/>
        </w:rPr>
        <w:t>中铁协作为比赛主办单位的赛事，</w:t>
      </w:r>
      <w:r>
        <w:rPr>
          <w:rFonts w:hint="eastAsia" w:ascii="仿宋_GB2312" w:hAnsi="仿宋" w:eastAsia="仿宋_GB2312" w:cs="仿宋"/>
          <w:bCs/>
          <w:sz w:val="28"/>
          <w:szCs w:val="28"/>
        </w:rPr>
        <w:t>中铁协或中铁协授权的赛事运营方，将与比赛申办单位商定合作办赛有关事宜，约定办赛标准与条件，签订办赛协议。重大国际比赛还需由申办单位、中铁协和</w:t>
      </w:r>
      <w:r>
        <w:rPr>
          <w:rFonts w:hint="eastAsia" w:ascii="仿宋_GB2312" w:hAnsi="仿宋" w:eastAsia="仿宋_GB2312" w:cs="仿宋"/>
          <w:sz w:val="28"/>
          <w:szCs w:val="28"/>
        </w:rPr>
        <w:t>有关国际组织签定三方办赛协议。</w:t>
      </w:r>
    </w:p>
    <w:p>
      <w:pPr>
        <w:numPr>
          <w:ilvl w:val="255"/>
          <w:numId w:val="0"/>
        </w:numPr>
        <w:tabs>
          <w:tab w:val="left" w:pos="960"/>
        </w:tabs>
        <w:adjustRightInd w:val="0"/>
        <w:snapToGrid w:val="0"/>
        <w:spacing w:line="600" w:lineRule="exact"/>
        <w:ind w:firstLine="562" w:firstLineChars="200"/>
        <w:rPr>
          <w:rFonts w:ascii="仿宋_GB2312" w:hAnsi="仿宋" w:eastAsia="仿宋_GB2312" w:cs="仿宋"/>
          <w:sz w:val="28"/>
          <w:szCs w:val="28"/>
        </w:rPr>
      </w:pPr>
      <w:r>
        <w:rPr>
          <w:rFonts w:hint="eastAsia" w:ascii="仿宋_GB2312" w:hAnsi="仿宋" w:eastAsia="仿宋_GB2312" w:cs="仿宋"/>
          <w:b/>
          <w:color w:val="000000" w:themeColor="text1"/>
          <w:sz w:val="28"/>
          <w:szCs w:val="28"/>
          <w14:textFill>
            <w14:solidFill>
              <w14:schemeClr w14:val="tx1"/>
            </w14:solidFill>
          </w14:textFill>
        </w:rPr>
        <w:t>第二十五条</w:t>
      </w:r>
      <w:r>
        <w:rPr>
          <w:rFonts w:hint="eastAsia" w:ascii="仿宋_GB2312" w:hAnsi="仿宋" w:eastAsia="仿宋_GB2312" w:cs="仿宋"/>
          <w:b/>
          <w:color w:val="FF0000"/>
          <w:sz w:val="28"/>
          <w:szCs w:val="28"/>
        </w:rPr>
        <w:t xml:space="preserve"> </w:t>
      </w:r>
      <w:r>
        <w:rPr>
          <w:rFonts w:hint="eastAsia" w:ascii="仿宋_GB2312" w:hAnsi="仿宋" w:eastAsia="仿宋_GB2312" w:cs="仿宋"/>
          <w:sz w:val="28"/>
          <w:szCs w:val="28"/>
        </w:rPr>
        <w:t>中铁协注册认证赛事，中铁协将作为技术指导与支持单位，与申请单位约定双方权利和义务，签署技术指导服务合作协议。</w:t>
      </w:r>
    </w:p>
    <w:p>
      <w:pPr>
        <w:numPr>
          <w:ilvl w:val="255"/>
          <w:numId w:val="0"/>
        </w:numPr>
        <w:tabs>
          <w:tab w:val="left" w:pos="960"/>
        </w:tabs>
        <w:adjustRightInd w:val="0"/>
        <w:snapToGrid w:val="0"/>
        <w:spacing w:line="600" w:lineRule="exact"/>
        <w:ind w:firstLine="562" w:firstLineChars="200"/>
        <w:rPr>
          <w:rFonts w:ascii="仿宋_GB2312" w:hAnsi="仿宋" w:eastAsia="仿宋_GB2312" w:cs="仿宋"/>
          <w:sz w:val="28"/>
          <w:szCs w:val="28"/>
        </w:rPr>
      </w:pPr>
      <w:r>
        <w:rPr>
          <w:rFonts w:hint="eastAsia" w:ascii="仿宋_GB2312" w:hAnsi="仿宋" w:eastAsia="仿宋_GB2312" w:cs="仿宋"/>
          <w:b/>
          <w:sz w:val="28"/>
          <w:szCs w:val="28"/>
        </w:rPr>
        <w:t xml:space="preserve">第二十六条 </w:t>
      </w:r>
      <w:r>
        <w:rPr>
          <w:rFonts w:hint="eastAsia" w:ascii="仿宋_GB2312" w:hAnsi="仿宋" w:eastAsia="仿宋_GB2312" w:cs="仿宋"/>
          <w:sz w:val="28"/>
          <w:szCs w:val="28"/>
        </w:rPr>
        <w:t xml:space="preserve">已列入计划的赛事，如变更比赛时间、地点、组织形式或撤消，须按照原申办或注册认证申请相同的程序办理变更或撤消手续。 </w:t>
      </w:r>
    </w:p>
    <w:p>
      <w:p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sz w:val="28"/>
          <w:szCs w:val="28"/>
        </w:rPr>
        <w:t xml:space="preserve"> </w:t>
      </w:r>
      <w:r>
        <w:rPr>
          <w:rFonts w:hint="eastAsia" w:ascii="仿宋_GB2312" w:hAnsi="仿宋" w:eastAsia="仿宋_GB2312" w:cs="仿宋"/>
          <w:b/>
          <w:sz w:val="28"/>
          <w:szCs w:val="28"/>
        </w:rPr>
        <w:t xml:space="preserve">第二十七条 </w:t>
      </w:r>
      <w:r>
        <w:rPr>
          <w:rFonts w:hint="eastAsia" w:ascii="仿宋_GB2312" w:hAnsi="仿宋" w:eastAsia="仿宋_GB2312" w:cs="仿宋"/>
          <w:sz w:val="28"/>
          <w:szCs w:val="28"/>
        </w:rPr>
        <w:t>举办铁人三项赛事需要办理的公安、交通、工商、税务、卫生、临建等其他审批手续，申办单位应依照有关法律法规办理。</w:t>
      </w:r>
    </w:p>
    <w:p>
      <w:pPr>
        <w:tabs>
          <w:tab w:val="left" w:pos="0"/>
        </w:tabs>
        <w:overflowPunct w:val="0"/>
        <w:adjustRightInd w:val="0"/>
        <w:snapToGrid w:val="0"/>
        <w:spacing w:line="600" w:lineRule="exact"/>
        <w:jc w:val="left"/>
        <w:rPr>
          <w:rFonts w:ascii="仿宋_GB2312" w:hAnsi="仿宋" w:eastAsia="仿宋_GB2312" w:cs="仿宋"/>
          <w:color w:val="auto"/>
          <w:sz w:val="28"/>
          <w:szCs w:val="28"/>
        </w:rPr>
      </w:pPr>
      <w:r>
        <w:rPr>
          <w:rFonts w:hint="eastAsia" w:ascii="仿宋_GB2312" w:hAnsi="仿宋" w:eastAsia="仿宋_GB2312" w:cs="仿宋"/>
          <w:sz w:val="28"/>
          <w:szCs w:val="28"/>
        </w:rPr>
        <w:t xml:space="preserve">        </w:t>
      </w:r>
      <w:r>
        <w:rPr>
          <w:rFonts w:hint="eastAsia" w:ascii="仿宋_GB2312" w:hAnsi="仿宋" w:eastAsia="仿宋_GB2312" w:cs="仿宋"/>
          <w:color w:val="auto"/>
          <w:sz w:val="28"/>
          <w:szCs w:val="28"/>
        </w:rPr>
        <w:t xml:space="preserve">              </w:t>
      </w:r>
    </w:p>
    <w:p>
      <w:pPr>
        <w:pStyle w:val="2"/>
        <w:numPr>
          <w:ilvl w:val="0"/>
          <w:numId w:val="2"/>
        </w:numPr>
        <w:snapToGrid w:val="0"/>
        <w:spacing w:before="0" w:after="0" w:line="600" w:lineRule="exact"/>
        <w:jc w:val="center"/>
        <w:rPr>
          <w:rFonts w:ascii="黑体" w:hAnsi="黑体" w:eastAsia="黑体" w:cs="仿宋"/>
          <w:b w:val="0"/>
          <w:color w:val="auto"/>
          <w:sz w:val="28"/>
          <w:szCs w:val="28"/>
        </w:rPr>
      </w:pPr>
      <w:r>
        <w:rPr>
          <w:rFonts w:hint="eastAsia" w:ascii="黑体" w:hAnsi="黑体" w:eastAsia="黑体" w:cs="仿宋"/>
          <w:b w:val="0"/>
          <w:color w:val="auto"/>
          <w:sz w:val="28"/>
          <w:szCs w:val="28"/>
        </w:rPr>
        <w:t>赛事备案</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bCs/>
          <w:color w:val="auto"/>
          <w:sz w:val="28"/>
          <w:szCs w:val="28"/>
        </w:rPr>
      </w:pPr>
      <w:r>
        <w:rPr>
          <w:rFonts w:hint="eastAsia" w:ascii="仿宋_GB2312" w:hAnsi="仿宋" w:eastAsia="仿宋_GB2312" w:cs="仿宋"/>
          <w:b/>
          <w:color w:val="auto"/>
          <w:sz w:val="28"/>
          <w:szCs w:val="28"/>
        </w:rPr>
        <w:t>第二十八条</w:t>
      </w:r>
      <w:r>
        <w:rPr>
          <w:rFonts w:hint="eastAsia" w:ascii="仿宋_GB2312" w:hAnsi="仿宋" w:eastAsia="仿宋_GB2312" w:cs="仿宋"/>
          <w:bCs/>
          <w:color w:val="auto"/>
          <w:sz w:val="28"/>
          <w:szCs w:val="28"/>
        </w:rPr>
        <w:t xml:space="preserve"> 需向中铁协备案的赛事类别与范围</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（一）在中国境内（不含香港、澳门、台湾地区）举办的国际C类铁人三项赛事；</w:t>
      </w:r>
    </w:p>
    <w:p>
      <w:pPr>
        <w:numPr>
          <w:ilvl w:val="255"/>
          <w:numId w:val="0"/>
        </w:numPr>
        <w:tabs>
          <w:tab w:val="left" w:pos="0"/>
        </w:tabs>
        <w:overflowPunct w:val="0"/>
        <w:adjustRightInd w:val="0"/>
        <w:snapToGrid w:val="0"/>
        <w:spacing w:line="600" w:lineRule="exact"/>
        <w:ind w:firstLine="560" w:firstLineChars="200"/>
        <w:jc w:val="left"/>
        <w:rPr>
          <w:rFonts w:ascii="仿宋_GB2312" w:hAnsi="仿宋" w:eastAsia="仿宋_GB2312" w:cs="仿宋"/>
          <w:bCs/>
          <w:color w:val="auto"/>
          <w:sz w:val="28"/>
          <w:szCs w:val="28"/>
        </w:rPr>
      </w:pPr>
      <w:r>
        <w:rPr>
          <w:rFonts w:hint="eastAsia" w:ascii="仿宋_GB2312" w:hAnsi="仿宋" w:eastAsia="仿宋_GB2312" w:cs="仿宋"/>
          <w:bCs/>
          <w:color w:val="auto"/>
          <w:sz w:val="28"/>
          <w:szCs w:val="28"/>
        </w:rPr>
        <w:t>（二）非中铁协注册认证的地方铁人三项赛事。</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bCs/>
          <w:color w:val="auto"/>
          <w:sz w:val="28"/>
          <w:szCs w:val="28"/>
        </w:rPr>
      </w:pPr>
      <w:r>
        <w:rPr>
          <w:rFonts w:hint="eastAsia" w:ascii="仿宋_GB2312" w:hAnsi="仿宋" w:eastAsia="仿宋_GB2312" w:cs="仿宋"/>
          <w:b/>
          <w:bCs/>
          <w:color w:val="auto"/>
          <w:sz w:val="28"/>
          <w:szCs w:val="28"/>
        </w:rPr>
        <w:t xml:space="preserve">第二十九条 </w:t>
      </w:r>
      <w:r>
        <w:rPr>
          <w:rFonts w:hint="eastAsia" w:ascii="仿宋_GB2312" w:hAnsi="仿宋" w:eastAsia="仿宋_GB2312" w:cs="仿宋"/>
          <w:bCs/>
          <w:color w:val="auto"/>
          <w:sz w:val="28"/>
          <w:szCs w:val="28"/>
        </w:rPr>
        <w:t>赛事备案内容</w:t>
      </w:r>
    </w:p>
    <w:p>
      <w:pPr>
        <w:tabs>
          <w:tab w:val="left" w:pos="0"/>
        </w:tabs>
        <w:overflowPunct w:val="0"/>
        <w:adjustRightInd w:val="0"/>
        <w:snapToGrid w:val="0"/>
        <w:spacing w:line="600" w:lineRule="exact"/>
        <w:ind w:left="550"/>
        <w:jc w:val="left"/>
        <w:rPr>
          <w:rFonts w:ascii="仿宋_GB2312" w:hAnsi="仿宋" w:eastAsia="仿宋_GB2312" w:cs="仿宋"/>
          <w:b/>
          <w:bCs/>
          <w:color w:val="auto"/>
          <w:sz w:val="28"/>
          <w:szCs w:val="28"/>
        </w:rPr>
      </w:pPr>
      <w:r>
        <w:rPr>
          <w:rFonts w:hint="eastAsia" w:ascii="仿宋_GB2312" w:hAnsi="仿宋" w:eastAsia="仿宋_GB2312" w:cs="仿宋"/>
          <w:color w:val="auto"/>
          <w:sz w:val="28"/>
          <w:szCs w:val="28"/>
        </w:rPr>
        <w:t>（一）赛前备案内容</w:t>
      </w:r>
      <w:r>
        <w:rPr>
          <w:rFonts w:hint="eastAsia" w:ascii="仿宋_GB2312" w:hAnsi="仿宋" w:eastAsia="仿宋_GB2312" w:cs="仿宋"/>
          <w:b/>
          <w:bCs/>
          <w:color w:val="auto"/>
          <w:sz w:val="28"/>
          <w:szCs w:val="28"/>
        </w:rPr>
        <w:t>（赛前备案信息表模板见附件1）</w:t>
      </w:r>
    </w:p>
    <w:p>
      <w:pPr>
        <w:tabs>
          <w:tab w:val="left" w:pos="0"/>
        </w:tabs>
        <w:overflowPunct w:val="0"/>
        <w:adjustRightInd w:val="0"/>
        <w:snapToGrid w:val="0"/>
        <w:spacing w:line="600" w:lineRule="exact"/>
        <w:ind w:left="55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1</w:t>
      </w:r>
      <w:r>
        <w:rPr>
          <w:rFonts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赛事的名称、时间、地点、参赛规模和报名方式；</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2</w:t>
      </w:r>
      <w:r>
        <w:rPr>
          <w:rFonts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赛事的主办单位、承办单位、运营单位信息，赛事备案申请单位信息；</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3</w:t>
      </w:r>
      <w:r>
        <w:rPr>
          <w:rFonts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竞赛规程（项目设置、组别设置、距离设置、奖金设置、比赛路线图等信息）；</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4．赛事成绩采集方式及信息。</w:t>
      </w:r>
    </w:p>
    <w:p>
      <w:pPr>
        <w:pStyle w:val="19"/>
        <w:numPr>
          <w:ilvl w:val="0"/>
          <w:numId w:val="3"/>
        </w:numPr>
        <w:tabs>
          <w:tab w:val="left" w:pos="0"/>
        </w:tabs>
        <w:overflowPunct w:val="0"/>
        <w:adjustRightInd w:val="0"/>
        <w:snapToGrid w:val="0"/>
        <w:spacing w:line="600" w:lineRule="exact"/>
        <w:ind w:firstLineChars="0"/>
        <w:jc w:val="left"/>
        <w:rPr>
          <w:rFonts w:ascii="仿宋_GB2312" w:hAnsi="仿宋" w:eastAsia="仿宋_GB2312" w:cs="仿宋"/>
          <w:b/>
          <w:bCs/>
          <w:color w:val="auto"/>
          <w:sz w:val="28"/>
          <w:szCs w:val="28"/>
        </w:rPr>
      </w:pPr>
      <w:r>
        <w:rPr>
          <w:rFonts w:hint="eastAsia" w:ascii="仿宋_GB2312" w:hAnsi="仿宋" w:eastAsia="仿宋_GB2312" w:cs="仿宋"/>
          <w:color w:val="auto"/>
          <w:sz w:val="28"/>
          <w:szCs w:val="28"/>
        </w:rPr>
        <w:t>赛后备案内容</w:t>
      </w:r>
      <w:r>
        <w:rPr>
          <w:rFonts w:hint="eastAsia" w:ascii="仿宋_GB2312" w:hAnsi="仿宋" w:eastAsia="仿宋_GB2312" w:cs="仿宋"/>
          <w:b/>
          <w:bCs/>
          <w:color w:val="auto"/>
          <w:sz w:val="28"/>
          <w:szCs w:val="28"/>
        </w:rPr>
        <w:t>（赛后备案信息表模板见附件2）</w:t>
      </w:r>
    </w:p>
    <w:p>
      <w:pPr>
        <w:tabs>
          <w:tab w:val="left" w:pos="0"/>
        </w:tabs>
        <w:overflowPunct w:val="0"/>
        <w:adjustRightInd w:val="0"/>
        <w:snapToGrid w:val="0"/>
        <w:spacing w:line="600" w:lineRule="exact"/>
        <w:ind w:left="56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1</w:t>
      </w:r>
      <w:r>
        <w:rPr>
          <w:rFonts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实际参赛规模和赛事成绩查询方式；</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2</w:t>
      </w:r>
      <w:r>
        <w:rPr>
          <w:rFonts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赛事总结（赛事组织经验与方法，遇到的问题与困难，改进措施与建议等）；</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3</w:t>
      </w:r>
      <w:r>
        <w:rPr>
          <w:rFonts w:ascii="仿宋_GB2312" w:hAnsi="仿宋" w:eastAsia="仿宋_GB2312" w:cs="仿宋"/>
          <w:color w:val="auto"/>
          <w:sz w:val="28"/>
          <w:szCs w:val="28"/>
        </w:rPr>
        <w:t xml:space="preserve">. </w:t>
      </w:r>
      <w:r>
        <w:rPr>
          <w:rFonts w:hint="eastAsia" w:ascii="仿宋_GB2312" w:hAnsi="仿宋" w:eastAsia="仿宋_GB2312" w:cs="仿宋"/>
          <w:color w:val="auto"/>
          <w:sz w:val="28"/>
          <w:szCs w:val="28"/>
        </w:rPr>
        <w:t>重大事项报告（重大赛事安全事件、重大舆论事件、食品安全和兴奋剂违规事件、重大违反赛风赛纪事件等）。</w:t>
      </w:r>
    </w:p>
    <w:p>
      <w:pPr>
        <w:tabs>
          <w:tab w:val="left" w:pos="0"/>
        </w:tabs>
        <w:overflowPunct w:val="0"/>
        <w:adjustRightInd w:val="0"/>
        <w:snapToGrid w:val="0"/>
        <w:spacing w:line="600" w:lineRule="exact"/>
        <w:ind w:left="550"/>
        <w:jc w:val="left"/>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第三十条 赛事备案程序</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赛事备案申请单位应至少于比赛前1个月向中铁协提交</w:t>
      </w:r>
      <w:r>
        <w:rPr>
          <w:rFonts w:hint="eastAsia" w:ascii="仿宋_GB2312" w:hAnsi="仿宋" w:eastAsia="仿宋_GB2312" w:cs="仿宋"/>
          <w:b/>
          <w:bCs/>
          <w:color w:val="auto"/>
          <w:sz w:val="28"/>
          <w:szCs w:val="28"/>
        </w:rPr>
        <w:t>赛前备案信息表</w:t>
      </w:r>
      <w:r>
        <w:rPr>
          <w:rFonts w:hint="eastAsia" w:ascii="仿宋_GB2312" w:hAnsi="仿宋" w:eastAsia="仿宋_GB2312" w:cs="仿宋"/>
          <w:color w:val="auto"/>
          <w:sz w:val="28"/>
          <w:szCs w:val="28"/>
        </w:rPr>
        <w:t>，应于比赛结束后一周内向中铁协提交</w:t>
      </w:r>
      <w:r>
        <w:rPr>
          <w:rFonts w:hint="eastAsia" w:ascii="仿宋_GB2312" w:hAnsi="仿宋" w:eastAsia="仿宋_GB2312" w:cs="仿宋"/>
          <w:b/>
          <w:bCs/>
          <w:color w:val="auto"/>
          <w:sz w:val="28"/>
          <w:szCs w:val="28"/>
        </w:rPr>
        <w:t>赛后备案信息表，</w:t>
      </w:r>
      <w:r>
        <w:rPr>
          <w:rFonts w:hint="eastAsia" w:ascii="仿宋_GB2312" w:hAnsi="仿宋" w:eastAsia="仿宋_GB2312" w:cs="仿宋"/>
          <w:color w:val="auto"/>
          <w:sz w:val="28"/>
          <w:szCs w:val="28"/>
        </w:rPr>
        <w:t>重大事项应于第一时间报送信息。</w:t>
      </w:r>
    </w:p>
    <w:p>
      <w:pPr>
        <w:tabs>
          <w:tab w:val="left" w:pos="0"/>
        </w:tabs>
        <w:overflowPunct w:val="0"/>
        <w:adjustRightInd w:val="0"/>
        <w:snapToGrid w:val="0"/>
        <w:spacing w:line="600" w:lineRule="exact"/>
        <w:ind w:left="550"/>
        <w:jc w:val="left"/>
        <w:rPr>
          <w:rFonts w:ascii="仿宋_GB2312" w:hAnsi="仿宋" w:eastAsia="仿宋_GB2312" w:cs="仿宋"/>
          <w:b/>
          <w:bCs/>
          <w:color w:val="auto"/>
          <w:sz w:val="28"/>
          <w:szCs w:val="28"/>
        </w:rPr>
      </w:pPr>
      <w:r>
        <w:rPr>
          <w:rFonts w:hint="eastAsia" w:ascii="仿宋_GB2312" w:hAnsi="仿宋" w:eastAsia="仿宋_GB2312" w:cs="仿宋"/>
          <w:b/>
          <w:bCs/>
          <w:color w:val="auto"/>
          <w:sz w:val="28"/>
          <w:szCs w:val="28"/>
        </w:rPr>
        <w:t>第三十一条 备案赛事的权利和义务</w:t>
      </w:r>
    </w:p>
    <w:p>
      <w:pPr>
        <w:tabs>
          <w:tab w:val="left" w:pos="0"/>
        </w:tabs>
        <w:overflowPunct w:val="0"/>
        <w:adjustRightInd w:val="0"/>
        <w:snapToGrid w:val="0"/>
        <w:spacing w:line="600" w:lineRule="exact"/>
        <w:ind w:left="55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（一）备案赛事的权利</w:t>
      </w:r>
    </w:p>
    <w:p>
      <w:pPr>
        <w:tabs>
          <w:tab w:val="left" w:pos="0"/>
        </w:tabs>
        <w:overflowPunct w:val="0"/>
        <w:adjustRightInd w:val="0"/>
        <w:snapToGrid w:val="0"/>
        <w:spacing w:line="600" w:lineRule="exact"/>
        <w:ind w:firstLine="562"/>
        <w:jc w:val="left"/>
        <w:rPr>
          <w:rFonts w:ascii="仿宋" w:hAnsi="仿宋" w:eastAsia="仿宋" w:cs="仿宋"/>
          <w:color w:val="auto"/>
          <w:sz w:val="28"/>
          <w:szCs w:val="28"/>
        </w:rPr>
      </w:pPr>
      <w:r>
        <w:rPr>
          <w:rFonts w:hint="eastAsia" w:ascii="仿宋" w:hAnsi="仿宋" w:eastAsia="仿宋" w:cs="仿宋"/>
          <w:color w:val="auto"/>
          <w:sz w:val="28"/>
          <w:szCs w:val="28"/>
        </w:rPr>
        <w:t>1</w:t>
      </w:r>
      <w:r>
        <w:rPr>
          <w:rFonts w:ascii="仿宋" w:hAnsi="仿宋" w:eastAsia="仿宋" w:cs="仿宋"/>
          <w:color w:val="auto"/>
          <w:sz w:val="28"/>
          <w:szCs w:val="28"/>
        </w:rPr>
        <w:t xml:space="preserve">. </w:t>
      </w:r>
      <w:r>
        <w:rPr>
          <w:rFonts w:hint="eastAsia" w:ascii="仿宋" w:hAnsi="仿宋" w:eastAsia="仿宋" w:cs="仿宋"/>
          <w:color w:val="auto"/>
          <w:sz w:val="28"/>
          <w:szCs w:val="28"/>
        </w:rPr>
        <w:t>列入中铁协赛事数据库，作为赛事升级的参考依据；</w:t>
      </w:r>
    </w:p>
    <w:p>
      <w:pPr>
        <w:tabs>
          <w:tab w:val="left" w:pos="0"/>
        </w:tabs>
        <w:overflowPunct w:val="0"/>
        <w:adjustRightInd w:val="0"/>
        <w:snapToGrid w:val="0"/>
        <w:spacing w:line="600" w:lineRule="exact"/>
        <w:ind w:firstLine="562"/>
        <w:jc w:val="left"/>
        <w:rPr>
          <w:rFonts w:ascii="仿宋" w:hAnsi="仿宋" w:eastAsia="仿宋" w:cs="仿宋"/>
          <w:color w:val="auto"/>
          <w:sz w:val="28"/>
          <w:szCs w:val="28"/>
        </w:rPr>
      </w:pPr>
      <w:r>
        <w:rPr>
          <w:rFonts w:hint="eastAsia" w:ascii="仿宋" w:hAnsi="仿宋" w:eastAsia="仿宋" w:cs="仿宋"/>
          <w:color w:val="auto"/>
          <w:sz w:val="28"/>
          <w:szCs w:val="28"/>
        </w:rPr>
        <w:t>2</w:t>
      </w:r>
      <w:r>
        <w:rPr>
          <w:rFonts w:ascii="仿宋" w:hAnsi="仿宋" w:eastAsia="仿宋" w:cs="仿宋"/>
          <w:color w:val="auto"/>
          <w:sz w:val="28"/>
          <w:szCs w:val="28"/>
        </w:rPr>
        <w:t xml:space="preserve">. </w:t>
      </w:r>
      <w:r>
        <w:rPr>
          <w:rFonts w:hint="eastAsia" w:ascii="仿宋" w:hAnsi="仿宋" w:eastAsia="仿宋" w:cs="仿宋"/>
          <w:color w:val="auto"/>
          <w:sz w:val="28"/>
          <w:szCs w:val="28"/>
        </w:rPr>
        <w:t>中铁协可根据备案赛事需求提供相应的赛事服务；</w:t>
      </w:r>
    </w:p>
    <w:p>
      <w:pPr>
        <w:tabs>
          <w:tab w:val="left" w:pos="0"/>
        </w:tabs>
        <w:overflowPunct w:val="0"/>
        <w:adjustRightInd w:val="0"/>
        <w:snapToGrid w:val="0"/>
        <w:spacing w:line="600" w:lineRule="exact"/>
        <w:ind w:firstLine="562"/>
        <w:jc w:val="left"/>
        <w:rPr>
          <w:rFonts w:ascii="仿宋" w:hAnsi="仿宋" w:eastAsia="仿宋" w:cs="仿宋"/>
          <w:color w:val="auto"/>
          <w:sz w:val="28"/>
          <w:szCs w:val="28"/>
        </w:rPr>
      </w:pPr>
      <w:r>
        <w:rPr>
          <w:rFonts w:hint="eastAsia" w:ascii="仿宋" w:hAnsi="仿宋" w:eastAsia="仿宋" w:cs="仿宋"/>
          <w:color w:val="auto"/>
          <w:sz w:val="28"/>
          <w:szCs w:val="28"/>
        </w:rPr>
        <w:t>3</w:t>
      </w:r>
      <w:r>
        <w:rPr>
          <w:rFonts w:ascii="仿宋" w:hAnsi="仿宋" w:eastAsia="仿宋" w:cs="仿宋"/>
          <w:color w:val="auto"/>
          <w:sz w:val="28"/>
          <w:szCs w:val="28"/>
        </w:rPr>
        <w:t xml:space="preserve">. </w:t>
      </w:r>
      <w:r>
        <w:rPr>
          <w:rFonts w:hint="eastAsia" w:ascii="仿宋" w:hAnsi="仿宋" w:eastAsia="仿宋" w:cs="仿宋"/>
          <w:color w:val="auto"/>
          <w:sz w:val="28"/>
          <w:szCs w:val="28"/>
        </w:rPr>
        <w:t>参加中铁协举办的赛事管理培训；</w:t>
      </w:r>
    </w:p>
    <w:p>
      <w:pPr>
        <w:tabs>
          <w:tab w:val="left" w:pos="0"/>
        </w:tabs>
        <w:overflowPunct w:val="0"/>
        <w:adjustRightInd w:val="0"/>
        <w:snapToGrid w:val="0"/>
        <w:spacing w:line="600" w:lineRule="exact"/>
        <w:ind w:firstLine="562"/>
        <w:jc w:val="left"/>
        <w:rPr>
          <w:rFonts w:ascii="仿宋" w:hAnsi="仿宋" w:eastAsia="仿宋" w:cs="仿宋"/>
          <w:color w:val="auto"/>
          <w:sz w:val="28"/>
          <w:szCs w:val="28"/>
        </w:rPr>
      </w:pPr>
      <w:r>
        <w:rPr>
          <w:rFonts w:hint="eastAsia" w:ascii="仿宋" w:hAnsi="仿宋" w:eastAsia="仿宋" w:cs="仿宋"/>
          <w:color w:val="auto"/>
          <w:sz w:val="28"/>
          <w:szCs w:val="28"/>
        </w:rPr>
        <w:t>4</w:t>
      </w:r>
      <w:r>
        <w:rPr>
          <w:rFonts w:ascii="仿宋" w:hAnsi="仿宋" w:eastAsia="仿宋" w:cs="仿宋"/>
          <w:color w:val="auto"/>
          <w:sz w:val="28"/>
          <w:szCs w:val="28"/>
        </w:rPr>
        <w:t xml:space="preserve">. </w:t>
      </w:r>
      <w:r>
        <w:rPr>
          <w:rFonts w:hint="eastAsia" w:ascii="仿宋" w:hAnsi="仿宋" w:eastAsia="仿宋" w:cs="仿宋"/>
          <w:color w:val="auto"/>
          <w:sz w:val="28"/>
          <w:szCs w:val="28"/>
        </w:rPr>
        <w:t>向中铁协申请选派国家级裁判员参加赛事执裁工作。</w:t>
      </w:r>
    </w:p>
    <w:p>
      <w:pPr>
        <w:tabs>
          <w:tab w:val="left" w:pos="0"/>
        </w:tabs>
        <w:overflowPunct w:val="0"/>
        <w:adjustRightInd w:val="0"/>
        <w:snapToGrid w:val="0"/>
        <w:spacing w:line="600" w:lineRule="exact"/>
        <w:ind w:left="550"/>
        <w:jc w:val="left"/>
        <w:rPr>
          <w:rFonts w:ascii="仿宋" w:hAnsi="仿宋" w:eastAsia="仿宋" w:cs="仿宋"/>
          <w:color w:val="auto"/>
          <w:sz w:val="28"/>
          <w:szCs w:val="28"/>
        </w:rPr>
      </w:pPr>
      <w:r>
        <w:rPr>
          <w:rFonts w:hint="eastAsia" w:ascii="仿宋" w:hAnsi="仿宋" w:eastAsia="仿宋" w:cs="仿宋"/>
          <w:color w:val="auto"/>
          <w:sz w:val="28"/>
          <w:szCs w:val="28"/>
        </w:rPr>
        <w:t>（二）备案赛事的义务</w:t>
      </w:r>
    </w:p>
    <w:p>
      <w:pPr>
        <w:tabs>
          <w:tab w:val="left" w:pos="0"/>
        </w:tabs>
        <w:overflowPunct w:val="0"/>
        <w:adjustRightInd w:val="0"/>
        <w:snapToGrid w:val="0"/>
        <w:spacing w:line="600" w:lineRule="exact"/>
        <w:ind w:left="550"/>
        <w:jc w:val="left"/>
        <w:rPr>
          <w:rFonts w:ascii="仿宋" w:hAnsi="仿宋" w:eastAsia="仿宋" w:cs="仿宋"/>
          <w:color w:val="auto"/>
          <w:sz w:val="28"/>
          <w:szCs w:val="28"/>
        </w:rPr>
      </w:pPr>
      <w:r>
        <w:rPr>
          <w:rFonts w:hint="eastAsia" w:ascii="仿宋" w:hAnsi="仿宋" w:eastAsia="仿宋" w:cs="仿宋"/>
          <w:color w:val="auto"/>
          <w:sz w:val="28"/>
          <w:szCs w:val="28"/>
        </w:rPr>
        <w:t>1</w:t>
      </w:r>
      <w:r>
        <w:rPr>
          <w:rFonts w:ascii="仿宋" w:hAnsi="仿宋" w:eastAsia="仿宋" w:cs="仿宋"/>
          <w:color w:val="auto"/>
          <w:sz w:val="28"/>
          <w:szCs w:val="28"/>
        </w:rPr>
        <w:t xml:space="preserve">. </w:t>
      </w:r>
      <w:r>
        <w:rPr>
          <w:rFonts w:hint="eastAsia" w:ascii="仿宋" w:hAnsi="仿宋" w:eastAsia="仿宋" w:cs="仿宋"/>
          <w:color w:val="auto"/>
          <w:sz w:val="28"/>
          <w:szCs w:val="28"/>
        </w:rPr>
        <w:t>及时、准确提供备案赛事信息；</w:t>
      </w:r>
    </w:p>
    <w:p>
      <w:pPr>
        <w:tabs>
          <w:tab w:val="left" w:pos="0"/>
        </w:tabs>
        <w:overflowPunct w:val="0"/>
        <w:adjustRightInd w:val="0"/>
        <w:snapToGrid w:val="0"/>
        <w:spacing w:line="60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2</w:t>
      </w:r>
      <w:r>
        <w:rPr>
          <w:rFonts w:ascii="仿宋" w:hAnsi="仿宋" w:eastAsia="仿宋" w:cs="仿宋"/>
          <w:color w:val="auto"/>
          <w:sz w:val="28"/>
          <w:szCs w:val="28"/>
        </w:rPr>
        <w:t xml:space="preserve">. </w:t>
      </w:r>
      <w:r>
        <w:rPr>
          <w:rFonts w:hint="eastAsia" w:ascii="仿宋" w:hAnsi="仿宋" w:eastAsia="仿宋" w:cs="仿宋"/>
          <w:color w:val="auto"/>
          <w:sz w:val="28"/>
          <w:szCs w:val="28"/>
        </w:rPr>
        <w:t>独立承担民事责任，遵守国家法律法规，严格执行铁人三项赛事组织工作标准和规范，确保赛事安全、公平，依法保障赛事参与者的合法权益；</w:t>
      </w:r>
    </w:p>
    <w:p>
      <w:pPr>
        <w:tabs>
          <w:tab w:val="left" w:pos="0"/>
        </w:tabs>
        <w:overflowPunct w:val="0"/>
        <w:adjustRightInd w:val="0"/>
        <w:snapToGrid w:val="0"/>
        <w:spacing w:line="60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3</w:t>
      </w:r>
      <w:r>
        <w:rPr>
          <w:rFonts w:ascii="仿宋" w:hAnsi="仿宋" w:eastAsia="仿宋" w:cs="仿宋"/>
          <w:color w:val="auto"/>
          <w:sz w:val="28"/>
          <w:szCs w:val="28"/>
        </w:rPr>
        <w:t xml:space="preserve">. </w:t>
      </w:r>
      <w:r>
        <w:rPr>
          <w:rFonts w:hint="eastAsia" w:ascii="仿宋" w:hAnsi="仿宋" w:eastAsia="仿宋" w:cs="仿宋"/>
          <w:color w:val="auto"/>
          <w:sz w:val="28"/>
          <w:szCs w:val="28"/>
        </w:rPr>
        <w:t>规范使用赛事名称，赛事名称与办赛内容相一致；</w:t>
      </w:r>
    </w:p>
    <w:p>
      <w:pPr>
        <w:tabs>
          <w:tab w:val="left" w:pos="0"/>
        </w:tabs>
        <w:overflowPunct w:val="0"/>
        <w:adjustRightInd w:val="0"/>
        <w:snapToGrid w:val="0"/>
        <w:spacing w:line="600" w:lineRule="exact"/>
        <w:ind w:firstLine="560" w:firstLineChars="200"/>
        <w:jc w:val="left"/>
        <w:rPr>
          <w:rFonts w:ascii="仿宋_GB2312" w:hAnsi="仿宋" w:eastAsia="仿宋_GB2312" w:cs="仿宋"/>
          <w:bCs/>
          <w:color w:val="FF0000"/>
          <w:sz w:val="28"/>
          <w:szCs w:val="28"/>
        </w:rPr>
      </w:pPr>
      <w:r>
        <w:rPr>
          <w:rFonts w:hint="eastAsia" w:ascii="仿宋" w:hAnsi="仿宋" w:eastAsia="仿宋" w:cs="仿宋"/>
          <w:color w:val="auto"/>
          <w:sz w:val="28"/>
          <w:szCs w:val="28"/>
        </w:rPr>
        <w:t>4</w:t>
      </w:r>
      <w:r>
        <w:rPr>
          <w:rFonts w:ascii="仿宋" w:hAnsi="仿宋" w:eastAsia="仿宋" w:cs="仿宋"/>
          <w:color w:val="auto"/>
          <w:sz w:val="28"/>
          <w:szCs w:val="28"/>
        </w:rPr>
        <w:t>. 利用赛事</w:t>
      </w:r>
      <w:r>
        <w:rPr>
          <w:rFonts w:hint="eastAsia" w:ascii="仿宋" w:hAnsi="仿宋" w:eastAsia="仿宋" w:cs="仿宋"/>
          <w:color w:val="auto"/>
          <w:sz w:val="28"/>
          <w:szCs w:val="28"/>
        </w:rPr>
        <w:t>宣传铁人三项运动积极向上、健康阳光的正面形象。</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b/>
          <w:sz w:val="28"/>
          <w:szCs w:val="28"/>
        </w:rPr>
      </w:pPr>
    </w:p>
    <w:p>
      <w:pPr>
        <w:pStyle w:val="2"/>
        <w:numPr>
          <w:ilvl w:val="255"/>
          <w:numId w:val="0"/>
        </w:numPr>
        <w:snapToGrid w:val="0"/>
        <w:spacing w:before="0" w:after="0" w:line="600" w:lineRule="exact"/>
        <w:jc w:val="center"/>
        <w:rPr>
          <w:rFonts w:ascii="黑体" w:hAnsi="黑体" w:eastAsia="黑体" w:cs="仿宋"/>
          <w:b w:val="0"/>
          <w:sz w:val="28"/>
          <w:szCs w:val="28"/>
        </w:rPr>
      </w:pPr>
      <w:r>
        <w:rPr>
          <w:rFonts w:hint="eastAsia" w:ascii="黑体" w:hAnsi="黑体" w:eastAsia="黑体" w:cs="仿宋"/>
          <w:b w:val="0"/>
          <w:sz w:val="28"/>
          <w:szCs w:val="28"/>
        </w:rPr>
        <w:t>第五章 赛事管理</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sz w:val="28"/>
          <w:szCs w:val="28"/>
        </w:rPr>
      </w:pPr>
      <w:r>
        <w:rPr>
          <w:rFonts w:hint="eastAsia" w:ascii="仿宋_GB2312" w:hAnsi="仿宋" w:eastAsia="仿宋_GB2312" w:cs="仿宋"/>
          <w:b/>
          <w:sz w:val="28"/>
          <w:szCs w:val="28"/>
        </w:rPr>
        <w:t xml:space="preserve">第三十二条 </w:t>
      </w:r>
      <w:r>
        <w:rPr>
          <w:rFonts w:hint="eastAsia" w:ascii="仿宋_GB2312" w:hAnsi="仿宋" w:eastAsia="仿宋_GB2312" w:cs="仿宋"/>
          <w:sz w:val="28"/>
          <w:szCs w:val="28"/>
        </w:rPr>
        <w:t>成功申办或注册认证赛事后，申办或注册认证申请单位自动转变为赛事承办单位。</w:t>
      </w:r>
    </w:p>
    <w:p>
      <w:pPr>
        <w:numPr>
          <w:ilvl w:val="255"/>
          <w:numId w:val="0"/>
        </w:numPr>
        <w:tabs>
          <w:tab w:val="left" w:pos="0"/>
        </w:tabs>
        <w:overflowPunct w:val="0"/>
        <w:adjustRightInd w:val="0"/>
        <w:snapToGrid w:val="0"/>
        <w:spacing w:line="600" w:lineRule="exact"/>
        <w:jc w:val="left"/>
        <w:rPr>
          <w:rFonts w:ascii="仿宋_GB2312" w:hAnsi="仿宋" w:eastAsia="仿宋_GB2312" w:cs="仿宋"/>
          <w:color w:val="auto"/>
          <w:sz w:val="28"/>
          <w:szCs w:val="28"/>
        </w:rPr>
      </w:pPr>
      <w:r>
        <w:rPr>
          <w:rFonts w:hint="eastAsia" w:ascii="仿宋_GB2312" w:hAnsi="仿宋" w:eastAsia="仿宋_GB2312" w:cs="仿宋"/>
          <w:sz w:val="28"/>
          <w:szCs w:val="28"/>
        </w:rPr>
        <w:tab/>
      </w:r>
      <w:r>
        <w:rPr>
          <w:rFonts w:hint="eastAsia" w:ascii="仿宋_GB2312" w:hAnsi="仿宋" w:eastAsia="仿宋_GB2312" w:cs="仿宋"/>
          <w:b/>
          <w:color w:val="auto"/>
          <w:sz w:val="28"/>
          <w:szCs w:val="28"/>
        </w:rPr>
        <w:t xml:space="preserve"> 第三十三条 </w:t>
      </w:r>
      <w:r>
        <w:rPr>
          <w:rFonts w:hint="eastAsia" w:ascii="仿宋_GB2312" w:hAnsi="仿宋" w:eastAsia="仿宋_GB2312" w:cs="仿宋"/>
          <w:color w:val="auto"/>
          <w:sz w:val="28"/>
          <w:szCs w:val="28"/>
        </w:rPr>
        <w:t>赛事举办单位应根据《国际铁人三项联盟竞赛规则》、《中国铁人三项运动协会比赛操作手册》、《中国铁人三项运动协会比赛安全保障指导意见》等文件规定，具体实施比赛各项筹备和组织工作，确保比赛安全、公平，为赛事组织人员提供必要的工作条件，</w:t>
      </w:r>
      <w:r>
        <w:rPr>
          <w:rFonts w:hint="eastAsia" w:ascii="仿宋" w:hAnsi="仿宋" w:eastAsia="仿宋" w:cs="仿宋"/>
          <w:color w:val="auto"/>
          <w:kern w:val="0"/>
          <w:sz w:val="28"/>
          <w:szCs w:val="28"/>
        </w:rPr>
        <w:t>依法保护赛事参与者的合法权益</w:t>
      </w:r>
      <w:r>
        <w:rPr>
          <w:rFonts w:hint="eastAsia" w:ascii="仿宋_GB2312" w:hAnsi="仿宋" w:eastAsia="仿宋_GB2312" w:cs="仿宋"/>
          <w:color w:val="auto"/>
          <w:sz w:val="28"/>
          <w:szCs w:val="28"/>
        </w:rPr>
        <w:t>。</w:t>
      </w:r>
    </w:p>
    <w:p>
      <w:pPr>
        <w:numPr>
          <w:ilvl w:val="255"/>
          <w:numId w:val="0"/>
        </w:numPr>
        <w:tabs>
          <w:tab w:val="left" w:pos="0"/>
        </w:tabs>
        <w:overflowPunct w:val="0"/>
        <w:adjustRightInd w:val="0"/>
        <w:snapToGrid w:val="0"/>
        <w:spacing w:line="600" w:lineRule="exact"/>
        <w:ind w:firstLine="562" w:firstLineChars="200"/>
        <w:jc w:val="left"/>
        <w:rPr>
          <w:rFonts w:ascii="仿宋" w:hAnsi="仿宋" w:eastAsia="仿宋" w:cs="仿宋"/>
          <w:color w:val="auto"/>
          <w:kern w:val="0"/>
          <w:sz w:val="28"/>
          <w:szCs w:val="28"/>
        </w:rPr>
      </w:pPr>
      <w:r>
        <w:rPr>
          <w:rFonts w:hint="eastAsia" w:ascii="仿宋_GB2312" w:hAnsi="仿宋" w:eastAsia="仿宋_GB2312" w:cs="仿宋"/>
          <w:b/>
          <w:bCs/>
          <w:color w:val="auto"/>
          <w:sz w:val="28"/>
          <w:szCs w:val="28"/>
        </w:rPr>
        <w:t>第三十四条</w:t>
      </w:r>
      <w:r>
        <w:rPr>
          <w:rFonts w:hint="eastAsia" w:ascii="仿宋_GB2312" w:hAnsi="仿宋" w:eastAsia="仿宋_GB2312" w:cs="仿宋"/>
          <w:color w:val="auto"/>
          <w:sz w:val="28"/>
          <w:szCs w:val="28"/>
        </w:rPr>
        <w:t xml:space="preserve"> 赛事举办单位应根据《中国铁人三项运动协会比赛安全保障指导意见》的要求，切实</w:t>
      </w:r>
      <w:r>
        <w:rPr>
          <w:rFonts w:hint="eastAsia" w:ascii="仿宋" w:hAnsi="仿宋" w:eastAsia="仿宋" w:cs="仿宋"/>
          <w:color w:val="auto"/>
          <w:kern w:val="0"/>
          <w:sz w:val="28"/>
          <w:szCs w:val="28"/>
        </w:rPr>
        <w:t>加强铁人三项比赛安全保障工作，履行自身职责。对赛事举办过程中可能危及公共安全和参赛者人身安全的各类风险和突发事件制定预案，并采取有效措施应对各类风险和突发事件。</w:t>
      </w:r>
    </w:p>
    <w:p>
      <w:pPr>
        <w:numPr>
          <w:ilvl w:val="255"/>
          <w:numId w:val="0"/>
        </w:numPr>
        <w:tabs>
          <w:tab w:val="left" w:pos="0"/>
        </w:tabs>
        <w:overflowPunct w:val="0"/>
        <w:adjustRightInd w:val="0"/>
        <w:snapToGrid w:val="0"/>
        <w:spacing w:line="600" w:lineRule="exact"/>
        <w:ind w:firstLine="562" w:firstLineChars="200"/>
        <w:jc w:val="left"/>
        <w:rPr>
          <w:rFonts w:ascii="仿宋" w:hAnsi="仿宋" w:eastAsia="仿宋" w:cs="仿宋"/>
          <w:color w:val="auto"/>
          <w:kern w:val="0"/>
          <w:sz w:val="28"/>
          <w:szCs w:val="28"/>
        </w:rPr>
      </w:pPr>
      <w:r>
        <w:rPr>
          <w:rFonts w:hint="eastAsia" w:ascii="仿宋" w:hAnsi="仿宋" w:eastAsia="仿宋" w:cs="仿宋"/>
          <w:b/>
          <w:bCs/>
          <w:color w:val="auto"/>
          <w:kern w:val="0"/>
          <w:sz w:val="28"/>
          <w:szCs w:val="28"/>
        </w:rPr>
        <w:t>第三十五条</w:t>
      </w:r>
      <w:r>
        <w:rPr>
          <w:rFonts w:hint="eastAsia" w:ascii="仿宋" w:hAnsi="仿宋" w:eastAsia="仿宋" w:cs="仿宋"/>
          <w:color w:val="auto"/>
          <w:kern w:val="0"/>
          <w:sz w:val="28"/>
          <w:szCs w:val="28"/>
        </w:rPr>
        <w:t xml:space="preserve"> 赛事举办单位应当通过适当的方式使参赛人员知晓赛事相关信息和潜在风险，提供科学参赛指引，帮助参赛人员主动实施风险防范措施，减少意外伤害事故。</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color w:val="auto"/>
          <w:sz w:val="28"/>
          <w:szCs w:val="28"/>
        </w:rPr>
      </w:pPr>
      <w:r>
        <w:rPr>
          <w:rFonts w:hint="eastAsia" w:ascii="仿宋_GB2312" w:hAnsi="仿宋" w:eastAsia="仿宋_GB2312" w:cs="仿宋"/>
          <w:b/>
          <w:bCs/>
          <w:color w:val="auto"/>
          <w:sz w:val="28"/>
          <w:szCs w:val="28"/>
        </w:rPr>
        <w:t xml:space="preserve">第三十六条 </w:t>
      </w:r>
      <w:r>
        <w:rPr>
          <w:rFonts w:hint="eastAsia" w:ascii="仿宋_GB2312" w:hAnsi="仿宋" w:eastAsia="仿宋_GB2312" w:cs="仿宋"/>
          <w:color w:val="auto"/>
          <w:sz w:val="28"/>
          <w:szCs w:val="28"/>
        </w:rPr>
        <w:t>赛事举办单位应严格执行国家有关反兴奋剂法律法规，积极配合国家反兴奋剂机构的工作；根据《中国铁人三项运动协会比赛安全保障指导意见》切实履行食品安全保障工作职责，确保食物卫生、新鲜、符合体育运动反兴奋剂规定。</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color w:val="auto"/>
          <w:sz w:val="28"/>
          <w:szCs w:val="28"/>
        </w:rPr>
      </w:pPr>
      <w:r>
        <w:rPr>
          <w:rFonts w:hint="eastAsia" w:ascii="仿宋_GB2312" w:hAnsi="仿宋" w:eastAsia="仿宋_GB2312" w:cs="仿宋"/>
          <w:b/>
          <w:color w:val="auto"/>
          <w:sz w:val="28"/>
          <w:szCs w:val="28"/>
        </w:rPr>
        <w:t xml:space="preserve">第三十七条 </w:t>
      </w:r>
      <w:r>
        <w:rPr>
          <w:rFonts w:hint="eastAsia" w:ascii="仿宋_GB2312" w:hAnsi="仿宋" w:eastAsia="仿宋_GB2312" w:cs="仿宋"/>
          <w:color w:val="auto"/>
          <w:sz w:val="28"/>
          <w:szCs w:val="28"/>
        </w:rPr>
        <w:t>赛事举办单位应根据《中国铁人三项运动协会裁判员管理办法》，对参与比赛竞赛组织工作的裁判员、辅助人员进行监督管理。非中铁协主办的铁人三项赛事，如需选调国家级铁人三项裁判员，须书面向中铁协提出申请。</w:t>
      </w:r>
    </w:p>
    <w:p>
      <w:pPr>
        <w:numPr>
          <w:ilvl w:val="255"/>
          <w:numId w:val="0"/>
        </w:numPr>
        <w:tabs>
          <w:tab w:val="left" w:pos="0"/>
        </w:tabs>
        <w:overflowPunct w:val="0"/>
        <w:adjustRightInd w:val="0"/>
        <w:snapToGrid w:val="0"/>
        <w:spacing w:line="600" w:lineRule="exact"/>
        <w:ind w:firstLine="562" w:firstLineChars="200"/>
        <w:jc w:val="left"/>
        <w:rPr>
          <w:rFonts w:ascii="仿宋_GB2312" w:hAnsi="仿宋" w:eastAsia="仿宋_GB2312" w:cs="仿宋"/>
          <w:color w:val="auto"/>
          <w:sz w:val="28"/>
          <w:szCs w:val="28"/>
        </w:rPr>
      </w:pPr>
      <w:r>
        <w:rPr>
          <w:rFonts w:hint="eastAsia" w:ascii="仿宋_GB2312" w:hAnsi="仿宋" w:eastAsia="仿宋_GB2312" w:cs="仿宋"/>
          <w:b/>
          <w:color w:val="auto"/>
          <w:sz w:val="28"/>
          <w:szCs w:val="28"/>
        </w:rPr>
        <w:t xml:space="preserve">第三十八条 </w:t>
      </w:r>
      <w:r>
        <w:rPr>
          <w:rFonts w:hint="eastAsia" w:ascii="仿宋_GB2312" w:hAnsi="仿宋" w:eastAsia="仿宋_GB2312" w:cs="仿宋"/>
          <w:color w:val="auto"/>
          <w:sz w:val="28"/>
          <w:szCs w:val="28"/>
        </w:rPr>
        <w:t>中铁协按照以下方式，对其主办或注册认证赛事进行监督与管理，并提供相应的技术指导和服务：</w:t>
      </w:r>
    </w:p>
    <w:p>
      <w:pPr>
        <w:tabs>
          <w:tab w:val="left" w:pos="0"/>
        </w:tabs>
        <w:overflowPunct w:val="0"/>
        <w:adjustRightInd w:val="0"/>
        <w:snapToGrid w:val="0"/>
        <w:spacing w:line="600" w:lineRule="exact"/>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 xml:space="preserve">    （一）国际铁人三项比赛（除备案赛事）和全国铁人三项比赛，中铁协作为主办单位履行职责，与比赛其他主办单位、承办单位、运营单位等共同负责赛前、赛中和赛后组织管理工作，具体包含制定竞赛组织工作标准与规范，组织竞赛组织工作培训；赛事申办与立项；赛事筹办工作指导与方案审核；竞赛规程制定，赛事信息发布，运动员招募；场地路线审核与确认；技术官员团队选派，当地技术官员和竞赛管理人员培训；竞赛器材、印刷品、宣传品、制作物设计指导与小样审核；境外人员邀请、联络与签证文件办理（仅国际比赛）；中央主流媒体邀请，赛事专题片制播（仅国际比赛）。</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二）中铁协注册认证赛事，中铁协作为技术指导与支持单位履行职责，具体包含赛事注册认证和信息发布；赛事组织工作培训；选派技术指导和比赛监督对赛事筹办、组织工作进行指导，培训当地技术官员和志愿者，监督评价办赛水平。</w:t>
      </w:r>
    </w:p>
    <w:p>
      <w:pPr>
        <w:tabs>
          <w:tab w:val="left" w:pos="0"/>
        </w:tabs>
        <w:overflowPunct w:val="0"/>
        <w:adjustRightInd w:val="0"/>
        <w:snapToGrid w:val="0"/>
        <w:spacing w:line="600" w:lineRule="exact"/>
        <w:ind w:firstLine="562" w:firstLineChars="200"/>
        <w:jc w:val="left"/>
        <w:rPr>
          <w:rFonts w:ascii="仿宋_GB2312" w:hAnsi="仿宋" w:eastAsia="仿宋_GB2312" w:cs="仿宋"/>
          <w:color w:val="auto"/>
          <w:sz w:val="28"/>
          <w:szCs w:val="28"/>
        </w:rPr>
      </w:pPr>
      <w:r>
        <w:rPr>
          <w:rFonts w:hint="eastAsia" w:ascii="仿宋_GB2312" w:hAnsi="仿宋" w:eastAsia="仿宋_GB2312" w:cs="仿宋"/>
          <w:b/>
          <w:color w:val="auto"/>
          <w:sz w:val="28"/>
          <w:szCs w:val="28"/>
        </w:rPr>
        <w:t xml:space="preserve">第三十九条 </w:t>
      </w:r>
      <w:r>
        <w:rPr>
          <w:rFonts w:hint="eastAsia" w:ascii="仿宋_GB2312" w:hAnsi="仿宋" w:eastAsia="仿宋_GB2312" w:cs="仿宋"/>
          <w:color w:val="auto"/>
          <w:sz w:val="28"/>
          <w:szCs w:val="28"/>
        </w:rPr>
        <w:t>中铁协将根据赛事筹备与组织工作需要向比赛承办单位提供技术指导和服务，并按照统一、公开的标准合理收取赛事服务费用。</w:t>
      </w:r>
    </w:p>
    <w:p>
      <w:pPr>
        <w:numPr>
          <w:ilvl w:val="255"/>
          <w:numId w:val="0"/>
        </w:numPr>
        <w:tabs>
          <w:tab w:val="left" w:pos="0"/>
        </w:tabs>
        <w:overflowPunct w:val="0"/>
        <w:adjustRightInd w:val="0"/>
        <w:snapToGrid w:val="0"/>
        <w:spacing w:line="600" w:lineRule="exact"/>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ab/>
      </w:r>
      <w:r>
        <w:rPr>
          <w:rFonts w:hint="eastAsia" w:ascii="仿宋_GB2312" w:hAnsi="仿宋" w:eastAsia="仿宋_GB2312" w:cs="仿宋"/>
          <w:b/>
          <w:color w:val="auto"/>
          <w:sz w:val="28"/>
          <w:szCs w:val="28"/>
        </w:rPr>
        <w:t xml:space="preserve"> 第四十条 </w:t>
      </w:r>
      <w:r>
        <w:rPr>
          <w:rFonts w:hint="eastAsia" w:ascii="仿宋_GB2312" w:hAnsi="仿宋" w:eastAsia="仿宋_GB2312" w:cs="仿宋"/>
          <w:color w:val="auto"/>
          <w:sz w:val="28"/>
          <w:szCs w:val="28"/>
        </w:rPr>
        <w:t>赛事举办单位有下列情形之一的，中铁协可根据情节轻重分别给予警告、通报批评、取消赛事、取消申办或申请注册认证铁人三项赛事资格1至3年的处罚。</w:t>
      </w:r>
    </w:p>
    <w:p>
      <w:pPr>
        <w:tabs>
          <w:tab w:val="left" w:pos="0"/>
        </w:tabs>
        <w:overflowPunct w:val="0"/>
        <w:adjustRightInd w:val="0"/>
        <w:snapToGrid w:val="0"/>
        <w:spacing w:line="600" w:lineRule="exact"/>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 xml:space="preserve">    （一）申办或注册认证赛事过程中隐瞒真实情况，有弄虚作假行为；</w:t>
      </w:r>
    </w:p>
    <w:p>
      <w:pPr>
        <w:tabs>
          <w:tab w:val="left" w:pos="0"/>
        </w:tabs>
        <w:overflowPunct w:val="0"/>
        <w:adjustRightInd w:val="0"/>
        <w:snapToGrid w:val="0"/>
        <w:spacing w:line="600" w:lineRule="exact"/>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 xml:space="preserve">    （二）办赛条件达不到标准，赛事组织机构不健全，赛事组织和安全工作方案不完善；</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（三）竞赛组织工作违背公平、公正原则，存在虚假比赛情况和违反体育道德行为；</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（四）竞赛组织工作不力，造成比赛秩序混乱而无法继续正常比赛，或造成严重的社会影响；</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（五）因赛事安全保障工作不力，发生影响公共安全或比赛安全事件，造成较大或严重社会影响；</w:t>
      </w:r>
    </w:p>
    <w:p>
      <w:pPr>
        <w:tabs>
          <w:tab w:val="left" w:pos="0"/>
        </w:tabs>
        <w:overflowPunct w:val="0"/>
        <w:adjustRightInd w:val="0"/>
        <w:snapToGrid w:val="0"/>
        <w:spacing w:line="600" w:lineRule="exact"/>
        <w:ind w:firstLine="560" w:firstLineChars="200"/>
        <w:jc w:val="left"/>
        <w:rPr>
          <w:rFonts w:ascii="仿宋_GB2312" w:hAnsi="仿宋" w:eastAsia="仿宋_GB2312" w:cs="仿宋"/>
          <w:color w:val="auto"/>
          <w:sz w:val="28"/>
          <w:szCs w:val="28"/>
        </w:rPr>
      </w:pPr>
      <w:r>
        <w:rPr>
          <w:rFonts w:hint="eastAsia" w:ascii="仿宋_GB2312" w:hAnsi="仿宋" w:eastAsia="仿宋_GB2312" w:cs="仿宋"/>
          <w:color w:val="auto"/>
          <w:sz w:val="28"/>
          <w:szCs w:val="28"/>
        </w:rPr>
        <w:t>（六）不接受、不配合国家反兴奋剂机构的兴奋剂检查工作；或因食品安全保障工作不力导致参赛运动员发生兴奋剂违规事件；</w:t>
      </w:r>
    </w:p>
    <w:p>
      <w:pPr>
        <w:tabs>
          <w:tab w:val="left" w:pos="0"/>
        </w:tabs>
        <w:overflowPunct w:val="0"/>
        <w:adjustRightInd w:val="0"/>
        <w:snapToGrid w:val="0"/>
        <w:spacing w:line="600" w:lineRule="exact"/>
        <w:ind w:firstLine="560" w:firstLineChars="200"/>
        <w:jc w:val="left"/>
        <w:rPr>
          <w:rFonts w:ascii="仿宋_GB2312" w:hAnsi="仿宋" w:eastAsia="仿宋_GB2312" w:cs="仿宋"/>
          <w:sz w:val="28"/>
          <w:szCs w:val="28"/>
        </w:rPr>
      </w:pPr>
      <w:r>
        <w:rPr>
          <w:rFonts w:hint="eastAsia" w:ascii="仿宋_GB2312" w:hAnsi="仿宋" w:eastAsia="仿宋_GB2312" w:cs="仿宋"/>
          <w:color w:val="auto"/>
          <w:sz w:val="28"/>
          <w:szCs w:val="28"/>
        </w:rPr>
        <w:t>（七）宣传工作不当，对铁人三项运动或中铁协声誉造成</w:t>
      </w:r>
      <w:r>
        <w:rPr>
          <w:rFonts w:hint="eastAsia" w:ascii="仿宋_GB2312" w:hAnsi="仿宋" w:eastAsia="仿宋_GB2312" w:cs="仿宋"/>
          <w:sz w:val="28"/>
          <w:szCs w:val="28"/>
        </w:rPr>
        <w:t>严重负面影响；</w:t>
      </w:r>
    </w:p>
    <w:p>
      <w:pPr>
        <w:tabs>
          <w:tab w:val="left" w:pos="0"/>
        </w:tabs>
        <w:overflowPunct w:val="0"/>
        <w:adjustRightInd w:val="0"/>
        <w:snapToGrid w:val="0"/>
        <w:spacing w:line="600" w:lineRule="exact"/>
        <w:ind w:left="550"/>
        <w:jc w:val="left"/>
        <w:rPr>
          <w:rFonts w:ascii="仿宋_GB2312" w:hAnsi="仿宋" w:eastAsia="仿宋_GB2312" w:cs="仿宋"/>
          <w:sz w:val="28"/>
          <w:szCs w:val="28"/>
        </w:rPr>
      </w:pPr>
      <w:r>
        <w:rPr>
          <w:rFonts w:hint="eastAsia" w:ascii="仿宋_GB2312" w:hAnsi="仿宋" w:eastAsia="仿宋_GB2312" w:cs="仿宋"/>
          <w:sz w:val="28"/>
          <w:szCs w:val="28"/>
        </w:rPr>
        <w:t>（八）违反办赛协议或技术指导服务协议。</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b/>
          <w:sz w:val="28"/>
          <w:szCs w:val="28"/>
        </w:rPr>
        <w:tab/>
      </w:r>
      <w:r>
        <w:rPr>
          <w:rFonts w:hint="eastAsia" w:ascii="仿宋_GB2312" w:hAnsi="仿宋" w:eastAsia="仿宋_GB2312" w:cs="仿宋"/>
          <w:b/>
          <w:sz w:val="28"/>
          <w:szCs w:val="28"/>
        </w:rPr>
        <w:t xml:space="preserve"> 第四十一条 </w:t>
      </w:r>
      <w:r>
        <w:rPr>
          <w:rFonts w:hint="eastAsia" w:ascii="仿宋_GB2312" w:hAnsi="仿宋" w:eastAsia="仿宋_GB2312" w:cs="仿宋"/>
          <w:sz w:val="28"/>
          <w:szCs w:val="28"/>
        </w:rPr>
        <w:t>参加铁人三项比赛的运动员、教练员、裁判员、工作人员等必须遵守体育总局对体育赛事的有关规定和《中国铁人三项运动协会赛风赛纪管理办法》，遵守体育道德，严禁使用兴奋剂、弄虚作假、徇私舞弊，严禁利用体育竞赛进行赌博活动等，违反者依据有关法规进行处罚并追究法律责任。</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p>
    <w:p>
      <w:pPr>
        <w:pStyle w:val="2"/>
        <w:numPr>
          <w:ilvl w:val="255"/>
          <w:numId w:val="0"/>
        </w:numPr>
        <w:snapToGrid w:val="0"/>
        <w:spacing w:before="0" w:after="0" w:line="600" w:lineRule="exact"/>
        <w:jc w:val="center"/>
        <w:rPr>
          <w:rFonts w:ascii="黑体" w:hAnsi="黑体" w:eastAsia="黑体" w:cs="仿宋"/>
          <w:b w:val="0"/>
          <w:sz w:val="28"/>
          <w:szCs w:val="28"/>
        </w:rPr>
      </w:pPr>
      <w:r>
        <w:rPr>
          <w:rFonts w:hint="eastAsia" w:ascii="黑体" w:hAnsi="黑体" w:eastAsia="黑体" w:cs="仿宋"/>
          <w:b w:val="0"/>
          <w:sz w:val="28"/>
          <w:szCs w:val="28"/>
        </w:rPr>
        <w:t>第六章 附则</w:t>
      </w:r>
    </w:p>
    <w:p>
      <w:pPr>
        <w:numPr>
          <w:ilvl w:val="255"/>
          <w:numId w:val="0"/>
        </w:numPr>
        <w:tabs>
          <w:tab w:val="left" w:pos="0"/>
        </w:tabs>
        <w:overflowPunct w:val="0"/>
        <w:adjustRightInd w:val="0"/>
        <w:snapToGrid w:val="0"/>
        <w:spacing w:line="600" w:lineRule="exact"/>
        <w:jc w:val="left"/>
        <w:rPr>
          <w:rFonts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b/>
          <w:sz w:val="28"/>
          <w:szCs w:val="28"/>
        </w:rPr>
        <w:t xml:space="preserve"> 第四十二条 </w:t>
      </w:r>
      <w:r>
        <w:rPr>
          <w:rFonts w:hint="eastAsia" w:ascii="仿宋_GB2312" w:hAnsi="仿宋" w:eastAsia="仿宋_GB2312" w:cs="仿宋"/>
          <w:sz w:val="28"/>
          <w:szCs w:val="28"/>
        </w:rPr>
        <w:t xml:space="preserve">本办法由中国铁人三项运动协会负责解释。 </w:t>
      </w:r>
    </w:p>
    <w:p>
      <w:pPr>
        <w:adjustRightInd w:val="0"/>
        <w:snapToGrid w:val="0"/>
        <w:spacing w:line="600" w:lineRule="exact"/>
        <w:rPr>
          <w:rFonts w:hint="eastAsia" w:ascii="仿宋_GB2312" w:hAnsi="仿宋" w:eastAsia="仿宋_GB2312" w:cs="仿宋"/>
          <w:sz w:val="28"/>
          <w:szCs w:val="28"/>
        </w:rPr>
      </w:pPr>
      <w:r>
        <w:rPr>
          <w:rFonts w:hint="eastAsia" w:ascii="仿宋_GB2312" w:hAnsi="仿宋" w:eastAsia="仿宋_GB2312" w:cs="仿宋"/>
          <w:sz w:val="28"/>
          <w:szCs w:val="28"/>
        </w:rPr>
        <w:tab/>
      </w:r>
      <w:r>
        <w:rPr>
          <w:rFonts w:hint="eastAsia" w:ascii="仿宋_GB2312" w:hAnsi="仿宋" w:eastAsia="仿宋_GB2312" w:cs="仿宋"/>
          <w:b/>
          <w:sz w:val="28"/>
          <w:szCs w:val="28"/>
        </w:rPr>
        <w:t xml:space="preserve"> 第四十三条 </w:t>
      </w:r>
      <w:r>
        <w:rPr>
          <w:rFonts w:hint="eastAsia" w:ascii="仿宋_GB2312" w:hAnsi="仿宋" w:eastAsia="仿宋_GB2312" w:cs="仿宋"/>
          <w:sz w:val="28"/>
          <w:szCs w:val="28"/>
        </w:rPr>
        <w:t>本办法自2019年4月1日起执行。</w:t>
      </w: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pPr>
    </w:p>
    <w:p>
      <w:pPr>
        <w:adjustRightInd w:val="0"/>
        <w:snapToGrid w:val="0"/>
        <w:spacing w:line="600" w:lineRule="exact"/>
        <w:rPr>
          <w:rFonts w:hint="eastAsia" w:ascii="仿宋_GB2312" w:hAnsi="仿宋" w:eastAsia="仿宋_GB2312" w:cs="仿宋"/>
          <w:sz w:val="28"/>
          <w:szCs w:val="28"/>
        </w:rPr>
        <w:sectPr>
          <w:footerReference r:id="rId3" w:type="default"/>
          <w:pgSz w:w="11906" w:h="16838"/>
          <w:pgMar w:top="1134" w:right="1361" w:bottom="1134" w:left="1361" w:header="851" w:footer="567" w:gutter="0"/>
          <w:cols w:space="0" w:num="1"/>
          <w:docGrid w:type="lines" w:linePitch="312" w:charSpace="0"/>
        </w:sectPr>
      </w:pPr>
    </w:p>
    <w:tbl>
      <w:tblPr>
        <w:tblStyle w:val="16"/>
        <w:tblW w:w="14520" w:type="dxa"/>
        <w:tblInd w:w="0" w:type="dxa"/>
        <w:shd w:val="clear" w:color="auto" w:fill="auto"/>
        <w:tblLayout w:type="fixed"/>
        <w:tblCellMar>
          <w:top w:w="0" w:type="dxa"/>
          <w:left w:w="0" w:type="dxa"/>
          <w:bottom w:w="0" w:type="dxa"/>
          <w:right w:w="0" w:type="dxa"/>
        </w:tblCellMar>
      </w:tblPr>
      <w:tblGrid>
        <w:gridCol w:w="1799"/>
        <w:gridCol w:w="6898"/>
        <w:gridCol w:w="2277"/>
        <w:gridCol w:w="1078"/>
        <w:gridCol w:w="2468"/>
      </w:tblGrid>
      <w:tr>
        <w:tblPrEx>
          <w:shd w:val="clear" w:color="auto" w:fill="auto"/>
          <w:tblLayout w:type="fixed"/>
          <w:tblCellMar>
            <w:top w:w="0" w:type="dxa"/>
            <w:left w:w="0" w:type="dxa"/>
            <w:bottom w:w="0" w:type="dxa"/>
            <w:right w:w="0" w:type="dxa"/>
          </w:tblCellMar>
        </w:tblPrEx>
        <w:trPr>
          <w:trHeight w:val="500" w:hRule="atLeast"/>
        </w:trPr>
        <w:tc>
          <w:tcPr>
            <w:tcW w:w="14520" w:type="dxa"/>
            <w:gridSpan w:val="5"/>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default" w:ascii="等线 Light" w:hAnsi="等线 Light" w:eastAsia="等线 Light" w:cs="等线 Light"/>
                <w:b/>
                <w:i w:val="0"/>
                <w:color w:val="000000"/>
                <w:sz w:val="28"/>
                <w:szCs w:val="28"/>
                <w:u w:val="none"/>
                <w:lang w:val="en-US" w:eastAsia="zh-CN"/>
              </w:rPr>
            </w:pPr>
            <w:r>
              <w:rPr>
                <w:rFonts w:hint="eastAsia" w:ascii="仿宋" w:hAnsi="仿宋" w:eastAsia="仿宋" w:cs="仿宋"/>
                <w:b/>
                <w:i w:val="0"/>
                <w:color w:val="000000"/>
                <w:sz w:val="24"/>
                <w:szCs w:val="24"/>
                <w:u w:val="none"/>
                <w:lang w:val="en-US" w:eastAsia="zh-CN"/>
              </w:rPr>
              <w:t>附件1：赛前备案信息表</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赛事名称</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中文名称</w:t>
            </w: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英文名称（如有）</w:t>
            </w:r>
          </w:p>
        </w:tc>
      </w:tr>
      <w:tr>
        <w:tblPrEx>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赛事日期</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开始日期（YYYY-MM-DD)</w:t>
            </w: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结束日期（YYYY-MM-DD)</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823" w:type="dxa"/>
            <w:gridSpan w:val="3"/>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赛事地点</w:t>
            </w:r>
          </w:p>
        </w:tc>
        <w:tc>
          <w:tcPr>
            <w:tcW w:w="127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省（自治区、直辖市）、市、区（县）</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1272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参赛规模</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参赛总规模（人数）</w:t>
            </w: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参赛运动员规模（人数）</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报名方式</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网站地址</w:t>
            </w: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其他途径（需填写详细信息）</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报名日期</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开始日期（YYYY-MM-DD)</w:t>
            </w: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结束日期（YYYY-MM-DD)</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82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主办单位</w:t>
            </w: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1</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2</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3.</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4...</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承办单位</w:t>
            </w: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1</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2</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3</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4....</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p>
        </w:tc>
      </w:tr>
      <w:tr>
        <w:tblPrEx>
          <w:shd w:val="clear" w:color="auto" w:fill="auto"/>
          <w:tblLayout w:type="fixed"/>
          <w:tblCellMar>
            <w:top w:w="0" w:type="dxa"/>
            <w:left w:w="0" w:type="dxa"/>
            <w:bottom w:w="0" w:type="dxa"/>
            <w:right w:w="0" w:type="dxa"/>
          </w:tblCellMar>
        </w:tblPrEx>
        <w:trPr>
          <w:trHeight w:val="860" w:hRule="atLeast"/>
        </w:trPr>
        <w:tc>
          <w:tcPr>
            <w:tcW w:w="17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运营单位</w:t>
            </w: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手机：</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邮箱：</w:t>
            </w:r>
          </w:p>
        </w:tc>
      </w:tr>
      <w:tr>
        <w:tblPrEx>
          <w:shd w:val="clear" w:color="auto" w:fill="auto"/>
          <w:tblLayout w:type="fixed"/>
          <w:tblCellMar>
            <w:top w:w="0" w:type="dxa"/>
            <w:left w:w="0" w:type="dxa"/>
            <w:bottom w:w="0" w:type="dxa"/>
            <w:right w:w="0" w:type="dxa"/>
          </w:tblCellMar>
        </w:tblPrEx>
        <w:trPr>
          <w:trHeight w:val="860" w:hRule="atLeast"/>
        </w:trPr>
        <w:tc>
          <w:tcPr>
            <w:tcW w:w="17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赛事备案</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申请单位</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4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手机：</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邮箱：</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Style w:val="23"/>
                <w:lang w:val="en-US" w:eastAsia="zh-CN" w:bidi="ar"/>
              </w:rPr>
              <w:t>赛事成绩</w:t>
            </w:r>
            <w:r>
              <w:rPr>
                <w:rStyle w:val="23"/>
                <w:lang w:val="en-US" w:eastAsia="zh-CN" w:bidi="ar"/>
              </w:rPr>
              <w:br w:type="textWrapping"/>
            </w:r>
            <w:r>
              <w:rPr>
                <w:rStyle w:val="23"/>
                <w:lang w:val="en-US" w:eastAsia="zh-CN" w:bidi="ar"/>
              </w:rPr>
              <w:t>采集方式</w:t>
            </w:r>
            <w:r>
              <w:rPr>
                <w:rStyle w:val="23"/>
                <w:lang w:val="en-US" w:eastAsia="zh-CN" w:bidi="ar"/>
              </w:rPr>
              <w:br w:type="textWrapping"/>
            </w:r>
            <w:r>
              <w:rPr>
                <w:rStyle w:val="23"/>
                <w:lang w:val="en-US" w:eastAsia="zh-CN" w:bidi="ar"/>
              </w:rPr>
              <w:t>（勾选“</w:t>
            </w:r>
            <w:r>
              <w:rPr>
                <w:rStyle w:val="24"/>
                <w:rFonts w:eastAsia="等线 Light"/>
                <w:lang w:val="en-US" w:eastAsia="zh-CN" w:bidi="ar"/>
              </w:rPr>
              <w:t>√</w:t>
            </w:r>
            <w:r>
              <w:rPr>
                <w:rStyle w:val="23"/>
                <w:lang w:val="en-US" w:eastAsia="zh-CN" w:bidi="ar"/>
              </w:rPr>
              <w:t>”)</w:t>
            </w: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电子计时</w:t>
            </w: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手动计时</w:t>
            </w: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电子计时+手动计时</w:t>
            </w:r>
          </w:p>
        </w:tc>
      </w:tr>
      <w:tr>
        <w:tblPrEx>
          <w:tblLayout w:type="fixed"/>
          <w:tblCellMar>
            <w:top w:w="0" w:type="dxa"/>
            <w:left w:w="0" w:type="dxa"/>
            <w:bottom w:w="0" w:type="dxa"/>
            <w:right w:w="0" w:type="dxa"/>
          </w:tblCellMar>
        </w:tblPrEx>
        <w:trPr>
          <w:trHeight w:val="54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617" w:hRule="exact"/>
        </w:trPr>
        <w:tc>
          <w:tcPr>
            <w:tcW w:w="179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电子计时</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相关信息</w:t>
            </w:r>
          </w:p>
        </w:tc>
        <w:tc>
          <w:tcPr>
            <w:tcW w:w="68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计时设备名称</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（系统+芯片）</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计时点数量</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（个）</w:t>
            </w: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计时公司名称</w:t>
            </w:r>
          </w:p>
        </w:tc>
      </w:tr>
      <w:tr>
        <w:tblPrEx>
          <w:shd w:val="clear" w:color="auto" w:fill="auto"/>
          <w:tblLayout w:type="fixed"/>
          <w:tblCellMar>
            <w:top w:w="0" w:type="dxa"/>
            <w:left w:w="0" w:type="dxa"/>
            <w:bottom w:w="0" w:type="dxa"/>
            <w:right w:w="0" w:type="dxa"/>
          </w:tblCellMar>
        </w:tblPrEx>
        <w:trPr>
          <w:trHeight w:val="397" w:hRule="exact"/>
        </w:trPr>
        <w:tc>
          <w:tcPr>
            <w:tcW w:w="17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68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35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79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竞赛规程</w:t>
            </w:r>
          </w:p>
        </w:tc>
        <w:tc>
          <w:tcPr>
            <w:tcW w:w="1272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竞赛规程以附件形式提供，竞赛规程需包含项目设置、组别设置、距离设置、奖金设置、比赛路线图等基本信息。</w:t>
            </w:r>
          </w:p>
        </w:tc>
      </w:tr>
      <w:tr>
        <w:tblPrEx>
          <w:shd w:val="clear" w:color="auto" w:fill="auto"/>
          <w:tblLayout w:type="fixed"/>
          <w:tblCellMar>
            <w:top w:w="0" w:type="dxa"/>
            <w:left w:w="0" w:type="dxa"/>
            <w:bottom w:w="0" w:type="dxa"/>
            <w:right w:w="0" w:type="dxa"/>
          </w:tblCellMar>
        </w:tblPrEx>
        <w:trPr>
          <w:trHeight w:val="460" w:hRule="atLeast"/>
        </w:trPr>
        <w:tc>
          <w:tcPr>
            <w:tcW w:w="14520" w:type="dxa"/>
            <w:gridSpan w:val="5"/>
            <w:vMerge w:val="restart"/>
            <w:tcBorders>
              <w:top w:val="single" w:color="000000" w:sz="4" w:space="0"/>
              <w:left w:val="nil"/>
              <w:bottom w:val="nil"/>
              <w:right w:val="nil"/>
            </w:tcBorders>
            <w:shd w:val="clear" w:color="auto" w:fill="auto"/>
            <w:tcMar>
              <w:top w:w="10" w:type="dxa"/>
              <w:left w:w="10" w:type="dxa"/>
              <w:right w:w="10" w:type="dxa"/>
            </w:tcMar>
            <w:vAlign w:val="top"/>
          </w:tcPr>
          <w:p>
            <w:pPr>
              <w:keepNext w:val="0"/>
              <w:keepLines w:val="0"/>
              <w:widowControl/>
              <w:suppressLineNumbers w:val="0"/>
              <w:jc w:val="left"/>
              <w:textAlignment w:val="top"/>
              <w:rPr>
                <w:rFonts w:hint="eastAsia" w:ascii="等线 Light" w:hAnsi="等线 Light" w:eastAsia="等线 Light" w:cs="等线 Light"/>
                <w:b/>
                <w:i w:val="0"/>
                <w:color w:val="000000"/>
                <w:sz w:val="20"/>
                <w:szCs w:val="20"/>
                <w:u w:val="none"/>
              </w:rPr>
            </w:pPr>
            <w:r>
              <w:rPr>
                <w:rStyle w:val="23"/>
                <w:lang w:val="en-US" w:eastAsia="zh-CN" w:bidi="ar"/>
              </w:rPr>
              <w:br w:type="textWrapping"/>
            </w:r>
            <w:r>
              <w:rPr>
                <w:rStyle w:val="23"/>
                <w:lang w:val="en-US" w:eastAsia="zh-CN" w:bidi="ar"/>
              </w:rPr>
              <w:t>本单位声明所有填报信息真实无误，并知晓提供虚假信息可能导致处罚直至承担法律责任。</w:t>
            </w:r>
            <w:r>
              <w:rPr>
                <w:rStyle w:val="25"/>
                <w:lang w:val="en-US" w:eastAsia="zh-CN" w:bidi="ar"/>
              </w:rPr>
              <w:br w:type="textWrapping"/>
            </w:r>
            <w:r>
              <w:rPr>
                <w:rStyle w:val="25"/>
                <w:lang w:val="en-US" w:eastAsia="zh-CN" w:bidi="ar"/>
              </w:rPr>
              <w:br w:type="textWrapping"/>
            </w:r>
            <w:r>
              <w:rPr>
                <w:rStyle w:val="25"/>
                <w:lang w:val="en-US" w:eastAsia="zh-CN" w:bidi="ar"/>
              </w:rPr>
              <w:br w:type="textWrapping"/>
            </w:r>
            <w:r>
              <w:rPr>
                <w:rStyle w:val="23"/>
                <w:lang w:val="en-US" w:eastAsia="zh-CN" w:bidi="ar"/>
              </w:rPr>
              <w:t>赛事备案申请单位名称：</w:t>
            </w:r>
            <w:r>
              <w:rPr>
                <w:rStyle w:val="23"/>
                <w:lang w:val="en-US" w:eastAsia="zh-CN" w:bidi="ar"/>
              </w:rPr>
              <w:br w:type="textWrapping"/>
            </w:r>
            <w:r>
              <w:rPr>
                <w:rStyle w:val="23"/>
                <w:lang w:val="en-US" w:eastAsia="zh-CN" w:bidi="ar"/>
              </w:rPr>
              <w:t xml:space="preserve">                            盖章：</w:t>
            </w:r>
            <w:r>
              <w:rPr>
                <w:rStyle w:val="23"/>
                <w:lang w:val="en-US" w:eastAsia="zh-CN" w:bidi="ar"/>
              </w:rPr>
              <w:br w:type="textWrapping"/>
            </w:r>
            <w:r>
              <w:rPr>
                <w:rStyle w:val="23"/>
                <w:lang w:val="en-US" w:eastAsia="zh-CN" w:bidi="ar"/>
              </w:rPr>
              <w:t xml:space="preserve">                            日期：2019年XX月XX日</w:t>
            </w:r>
          </w:p>
        </w:tc>
      </w:tr>
      <w:tr>
        <w:tblPrEx>
          <w:shd w:val="clear" w:color="auto" w:fill="auto"/>
          <w:tblLayout w:type="fixed"/>
          <w:tblCellMar>
            <w:top w:w="0" w:type="dxa"/>
            <w:left w:w="0" w:type="dxa"/>
            <w:bottom w:w="0" w:type="dxa"/>
            <w:right w:w="0" w:type="dxa"/>
          </w:tblCellMar>
        </w:tblPrEx>
        <w:trPr>
          <w:trHeight w:val="460" w:hRule="atLeast"/>
        </w:trPr>
        <w:tc>
          <w:tcPr>
            <w:tcW w:w="14520" w:type="dxa"/>
            <w:gridSpan w:val="5"/>
            <w:vMerge w:val="continue"/>
            <w:tcBorders>
              <w:top w:val="single" w:color="000000" w:sz="4" w:space="0"/>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b/>
                <w:i w:val="0"/>
                <w:color w:val="000000"/>
                <w:sz w:val="20"/>
                <w:szCs w:val="20"/>
                <w:u w:val="none"/>
              </w:rPr>
            </w:pPr>
          </w:p>
        </w:tc>
      </w:tr>
      <w:tr>
        <w:tblPrEx>
          <w:tblLayout w:type="fixed"/>
          <w:tblCellMar>
            <w:top w:w="0" w:type="dxa"/>
            <w:left w:w="0" w:type="dxa"/>
            <w:bottom w:w="0" w:type="dxa"/>
            <w:right w:w="0" w:type="dxa"/>
          </w:tblCellMar>
        </w:tblPrEx>
        <w:trPr>
          <w:trHeight w:val="460" w:hRule="atLeast"/>
        </w:trPr>
        <w:tc>
          <w:tcPr>
            <w:tcW w:w="14520" w:type="dxa"/>
            <w:gridSpan w:val="5"/>
            <w:vMerge w:val="continue"/>
            <w:tcBorders>
              <w:top w:val="single" w:color="000000" w:sz="4" w:space="0"/>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b/>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60" w:hRule="atLeast"/>
        </w:trPr>
        <w:tc>
          <w:tcPr>
            <w:tcW w:w="14520" w:type="dxa"/>
            <w:gridSpan w:val="5"/>
            <w:vMerge w:val="continue"/>
            <w:tcBorders>
              <w:top w:val="single" w:color="000000" w:sz="4" w:space="0"/>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b/>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80" w:hRule="atLeast"/>
        </w:trPr>
        <w:tc>
          <w:tcPr>
            <w:tcW w:w="14520" w:type="dxa"/>
            <w:gridSpan w:val="5"/>
            <w:vMerge w:val="continue"/>
            <w:tcBorders>
              <w:top w:val="single" w:color="000000" w:sz="4" w:space="0"/>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b/>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20" w:type="dxa"/>
            <w:gridSpan w:val="5"/>
            <w:vMerge w:val="restart"/>
            <w:tcBorders>
              <w:top w:val="nil"/>
              <w:left w:val="nil"/>
              <w:bottom w:val="nil"/>
              <w:right w:val="nil"/>
            </w:tcBorders>
            <w:shd w:val="clear" w:color="auto" w:fill="auto"/>
            <w:tcMar>
              <w:top w:w="10" w:type="dxa"/>
              <w:left w:w="10" w:type="dxa"/>
              <w:right w:w="10" w:type="dxa"/>
            </w:tcMar>
            <w:vAlign w:val="top"/>
          </w:tcPr>
          <w:p>
            <w:pPr>
              <w:keepNext w:val="0"/>
              <w:keepLines w:val="0"/>
              <w:widowControl/>
              <w:suppressLineNumbers w:val="0"/>
              <w:jc w:val="left"/>
              <w:textAlignment w:val="top"/>
              <w:rPr>
                <w:rFonts w:hint="eastAsia" w:ascii="等线 Light" w:hAnsi="等线 Light" w:eastAsia="等线 Light" w:cs="等线 Light"/>
                <w:i w:val="0"/>
                <w:color w:val="000000"/>
                <w:kern w:val="0"/>
                <w:sz w:val="20"/>
                <w:szCs w:val="20"/>
                <w:u w:val="none"/>
                <w:lang w:val="en-US" w:eastAsia="zh-CN" w:bidi="ar"/>
              </w:rPr>
            </w:pPr>
          </w:p>
          <w:p>
            <w:pPr>
              <w:keepNext w:val="0"/>
              <w:keepLines w:val="0"/>
              <w:widowControl/>
              <w:suppressLineNumbers w:val="0"/>
              <w:jc w:val="left"/>
              <w:textAlignment w:val="top"/>
              <w:rPr>
                <w:rFonts w:hint="eastAsia" w:ascii="等线 Light" w:hAnsi="等线 Light" w:eastAsia="等线 Light" w:cs="等线 Light"/>
                <w:i w:val="0"/>
                <w:color w:val="000000"/>
                <w:kern w:val="0"/>
                <w:sz w:val="20"/>
                <w:szCs w:val="20"/>
                <w:u w:val="none"/>
                <w:lang w:val="en-US" w:eastAsia="zh-CN" w:bidi="ar"/>
              </w:rPr>
            </w:pPr>
          </w:p>
          <w:p>
            <w:pPr>
              <w:keepNext w:val="0"/>
              <w:keepLines w:val="0"/>
              <w:widowControl/>
              <w:suppressLineNumbers w:val="0"/>
              <w:jc w:val="left"/>
              <w:textAlignment w:val="top"/>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备注：</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赛前备案信息表须于赛前1个月通过电子邮件提交至中铁协，邮件名称：赛前备案+“备案赛事名称”；</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提交内容：赛前备案信息表电子文档以及加盖赛事备案申请单位公章的赛前备案信息表（PDF、JPEG格式）；</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中铁协联系方式：</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邮箱：events@ctsa.org.cn，</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电话：010-68823772</w:t>
            </w:r>
          </w:p>
        </w:tc>
      </w:tr>
      <w:tr>
        <w:tblPrEx>
          <w:shd w:val="clear" w:color="auto" w:fill="auto"/>
          <w:tblLayout w:type="fixed"/>
          <w:tblCellMar>
            <w:top w:w="0" w:type="dxa"/>
            <w:left w:w="0" w:type="dxa"/>
            <w:bottom w:w="0" w:type="dxa"/>
            <w:right w:w="0" w:type="dxa"/>
          </w:tblCellMar>
        </w:tblPrEx>
        <w:trPr>
          <w:trHeight w:val="300" w:hRule="atLeast"/>
        </w:trPr>
        <w:tc>
          <w:tcPr>
            <w:tcW w:w="1452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2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2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452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452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rPr>
          <w:rFonts w:hint="eastAsia" w:ascii="仿宋" w:hAnsi="仿宋" w:eastAsia="仿宋" w:cs="仿宋"/>
          <w:b/>
          <w:i w:val="0"/>
          <w:color w:val="000000"/>
          <w:sz w:val="24"/>
          <w:szCs w:val="24"/>
          <w:u w:val="none"/>
          <w:lang w:val="en-US" w:eastAsia="zh-CN"/>
        </w:rPr>
      </w:pPr>
    </w:p>
    <w:tbl>
      <w:tblPr>
        <w:tblStyle w:val="16"/>
        <w:tblW w:w="14530" w:type="dxa"/>
        <w:tblInd w:w="0" w:type="dxa"/>
        <w:shd w:val="clear" w:color="auto" w:fill="auto"/>
        <w:tblLayout w:type="fixed"/>
        <w:tblCellMar>
          <w:top w:w="0" w:type="dxa"/>
          <w:left w:w="0" w:type="dxa"/>
          <w:bottom w:w="0" w:type="dxa"/>
          <w:right w:w="0" w:type="dxa"/>
        </w:tblCellMar>
      </w:tblPr>
      <w:tblGrid>
        <w:gridCol w:w="1857"/>
        <w:gridCol w:w="7398"/>
        <w:gridCol w:w="1472"/>
        <w:gridCol w:w="1113"/>
        <w:gridCol w:w="2690"/>
      </w:tblGrid>
      <w:tr>
        <w:tblPrEx>
          <w:shd w:val="clear" w:color="auto" w:fill="auto"/>
          <w:tblLayout w:type="fixed"/>
          <w:tblCellMar>
            <w:top w:w="0" w:type="dxa"/>
            <w:left w:w="0" w:type="dxa"/>
            <w:bottom w:w="0" w:type="dxa"/>
            <w:right w:w="0" w:type="dxa"/>
          </w:tblCellMar>
        </w:tblPrEx>
        <w:trPr>
          <w:trHeight w:val="500" w:hRule="atLeast"/>
        </w:trPr>
        <w:tc>
          <w:tcPr>
            <w:tcW w:w="14530" w:type="dxa"/>
            <w:gridSpan w:val="5"/>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仿宋" w:hAnsi="仿宋" w:eastAsia="仿宋" w:cs="仿宋"/>
                <w:b/>
                <w:i w:val="0"/>
                <w:color w:val="000000"/>
                <w:sz w:val="24"/>
                <w:szCs w:val="24"/>
                <w:u w:val="none"/>
                <w:lang w:val="en-US" w:eastAsia="zh-CN"/>
              </w:rPr>
            </w:pPr>
          </w:p>
          <w:p>
            <w:pPr>
              <w:keepNext w:val="0"/>
              <w:keepLines w:val="0"/>
              <w:widowControl/>
              <w:suppressLineNumbers w:val="0"/>
              <w:jc w:val="both"/>
              <w:textAlignment w:val="center"/>
              <w:rPr>
                <w:rFonts w:ascii="等线 Light" w:hAnsi="等线 Light" w:eastAsia="等线 Light" w:cs="等线 Light"/>
                <w:b/>
                <w:i w:val="0"/>
                <w:color w:val="000000"/>
                <w:sz w:val="28"/>
                <w:szCs w:val="28"/>
                <w:u w:val="none"/>
              </w:rPr>
            </w:pPr>
            <w:r>
              <w:rPr>
                <w:rFonts w:hint="eastAsia" w:ascii="仿宋" w:hAnsi="仿宋" w:eastAsia="仿宋" w:cs="仿宋"/>
                <w:b/>
                <w:i w:val="0"/>
                <w:color w:val="000000"/>
                <w:sz w:val="24"/>
                <w:szCs w:val="24"/>
                <w:u w:val="none"/>
                <w:lang w:val="en-US" w:eastAsia="zh-CN"/>
              </w:rPr>
              <w:t>附件2：赛后备案信息表</w:t>
            </w:r>
          </w:p>
        </w:tc>
      </w:tr>
      <w:tr>
        <w:tblPrEx>
          <w:shd w:val="clear" w:color="auto" w:fill="auto"/>
          <w:tblLayout w:type="fixed"/>
          <w:tblCellMar>
            <w:top w:w="0" w:type="dxa"/>
            <w:left w:w="0" w:type="dxa"/>
            <w:bottom w:w="0" w:type="dxa"/>
            <w:right w:w="0" w:type="dxa"/>
          </w:tblCellMar>
        </w:tblPrEx>
        <w:trPr>
          <w:trHeight w:val="397" w:hRule="exact"/>
        </w:trPr>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赛事名称</w:t>
            </w:r>
          </w:p>
        </w:tc>
        <w:tc>
          <w:tcPr>
            <w:tcW w:w="73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中文名称</w:t>
            </w: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英文名称（如有）</w:t>
            </w:r>
          </w:p>
        </w:tc>
      </w:tr>
      <w:tr>
        <w:tblPrEx>
          <w:shd w:val="clear" w:color="auto" w:fill="auto"/>
          <w:tblLayout w:type="fixed"/>
          <w:tblCellMar>
            <w:top w:w="0" w:type="dxa"/>
            <w:left w:w="0" w:type="dxa"/>
            <w:bottom w:w="0" w:type="dxa"/>
            <w:right w:w="0" w:type="dxa"/>
          </w:tblCellMar>
        </w:tblPrEx>
        <w:trPr>
          <w:trHeight w:val="397" w:hRule="exac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73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97" w:hRule="exact"/>
        </w:trPr>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参赛规模</w:t>
            </w:r>
          </w:p>
        </w:tc>
        <w:tc>
          <w:tcPr>
            <w:tcW w:w="73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实际参赛运动员规模（人数）</w:t>
            </w: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各组别实际参赛运动员人数</w:t>
            </w:r>
          </w:p>
        </w:tc>
      </w:tr>
      <w:tr>
        <w:tblPrEx>
          <w:shd w:val="clear" w:color="auto" w:fill="auto"/>
          <w:tblLayout w:type="fixed"/>
          <w:tblCellMar>
            <w:top w:w="0" w:type="dxa"/>
            <w:left w:w="0" w:type="dxa"/>
            <w:bottom w:w="0" w:type="dxa"/>
            <w:right w:w="0" w:type="dxa"/>
          </w:tblCellMar>
        </w:tblPrEx>
        <w:trPr>
          <w:trHeight w:val="1906"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739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实际参赛运动员人数：</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实际参赛男子运动员人数：</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实际参赛女子运动员人数：</w:t>
            </w: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keepNext w:val="0"/>
              <w:keepLines w:val="0"/>
              <w:widowControl/>
              <w:suppressLineNumbers w:val="0"/>
              <w:jc w:val="left"/>
              <w:textAlignment w:val="top"/>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根据赛事项目、组别设置，各组别实际参赛运动员人数：</w:t>
            </w:r>
          </w:p>
        </w:tc>
      </w:tr>
      <w:tr>
        <w:tblPrEx>
          <w:shd w:val="clear" w:color="auto" w:fill="auto"/>
          <w:tblLayout w:type="fixed"/>
          <w:tblCellMar>
            <w:top w:w="0" w:type="dxa"/>
            <w:left w:w="0" w:type="dxa"/>
            <w:bottom w:w="0" w:type="dxa"/>
            <w:right w:w="0" w:type="dxa"/>
          </w:tblCellMar>
        </w:tblPrEx>
        <w:trPr>
          <w:trHeight w:val="397" w:hRule="exact"/>
        </w:trPr>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赛事成绩</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查询方式</w:t>
            </w:r>
          </w:p>
        </w:tc>
        <w:tc>
          <w:tcPr>
            <w:tcW w:w="73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网站地址</w:t>
            </w: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其他途径（需填写详细信息）</w:t>
            </w:r>
          </w:p>
        </w:tc>
      </w:tr>
      <w:tr>
        <w:tblPrEx>
          <w:shd w:val="clear" w:color="auto" w:fill="auto"/>
          <w:tblLayout w:type="fixed"/>
          <w:tblCellMar>
            <w:top w:w="0" w:type="dxa"/>
            <w:left w:w="0" w:type="dxa"/>
            <w:bottom w:w="0" w:type="dxa"/>
            <w:right w:w="0" w:type="dxa"/>
          </w:tblCellMar>
        </w:tblPrEx>
        <w:trPr>
          <w:trHeight w:val="397" w:hRule="exac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等线 Light" w:hAnsi="等线 Light" w:eastAsia="等线 Light" w:cs="等线 Light"/>
                <w:b/>
                <w:i w:val="0"/>
                <w:color w:val="000000"/>
                <w:sz w:val="20"/>
                <w:szCs w:val="20"/>
                <w:u w:val="none"/>
              </w:rPr>
            </w:pPr>
          </w:p>
        </w:tc>
        <w:tc>
          <w:tcPr>
            <w:tcW w:w="73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52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310" w:hRule="atLeast"/>
        </w:trPr>
        <w:tc>
          <w:tcPr>
            <w:tcW w:w="18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赛事总结</w:t>
            </w:r>
          </w:p>
        </w:tc>
        <w:tc>
          <w:tcPr>
            <w:tcW w:w="126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top"/>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赛事举办情况介绍，赛事组织经验与方法，</w:t>
            </w:r>
            <w:bookmarkStart w:id="0" w:name="_GoBack"/>
            <w:bookmarkEnd w:id="0"/>
            <w:r>
              <w:rPr>
                <w:rFonts w:hint="eastAsia" w:ascii="等线 Light" w:hAnsi="等线 Light" w:eastAsia="等线 Light" w:cs="等线 Light"/>
                <w:i w:val="0"/>
                <w:color w:val="000000"/>
                <w:kern w:val="0"/>
                <w:sz w:val="20"/>
                <w:szCs w:val="20"/>
                <w:u w:val="none"/>
                <w:lang w:val="en-US" w:eastAsia="zh-CN" w:bidi="ar"/>
              </w:rPr>
              <w:t>遇到的问题与困难，改进措施与建议等。</w:t>
            </w:r>
          </w:p>
        </w:tc>
      </w:tr>
      <w:tr>
        <w:tblPrEx>
          <w:shd w:val="clear" w:color="auto" w:fill="auto"/>
          <w:tblLayout w:type="fixed"/>
          <w:tblCellMar>
            <w:top w:w="0" w:type="dxa"/>
            <w:left w:w="0" w:type="dxa"/>
            <w:bottom w:w="0" w:type="dxa"/>
            <w:right w:w="0" w:type="dxa"/>
          </w:tblCellMar>
        </w:tblPrEx>
        <w:trPr>
          <w:trHeight w:val="640" w:hRule="atLeast"/>
        </w:trPr>
        <w:tc>
          <w:tcPr>
            <w:tcW w:w="18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重大事项</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报告</w:t>
            </w:r>
          </w:p>
        </w:tc>
        <w:tc>
          <w:tcPr>
            <w:tcW w:w="1267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如有，应第一时间上报信息，后期需详细说明事件发生的原因，应对、处理措施等。</w:t>
            </w:r>
          </w:p>
        </w:tc>
      </w:tr>
      <w:tr>
        <w:tblPrEx>
          <w:tblLayout w:type="fixed"/>
          <w:tblCellMar>
            <w:top w:w="0" w:type="dxa"/>
            <w:left w:w="0" w:type="dxa"/>
            <w:bottom w:w="0" w:type="dxa"/>
            <w:right w:w="0" w:type="dxa"/>
          </w:tblCellMar>
        </w:tblPrEx>
        <w:trPr>
          <w:trHeight w:val="820" w:hRule="atLeast"/>
        </w:trPr>
        <w:tc>
          <w:tcPr>
            <w:tcW w:w="185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赛事备案</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申请单位</w:t>
            </w:r>
          </w:p>
        </w:tc>
        <w:tc>
          <w:tcPr>
            <w:tcW w:w="739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等线 Light" w:hAnsi="等线 Light" w:eastAsia="等线 Light" w:cs="等线 Light"/>
                <w:i w:val="0"/>
                <w:color w:val="000000"/>
                <w:sz w:val="20"/>
                <w:szCs w:val="20"/>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联系人：</w:t>
            </w: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职务：</w:t>
            </w:r>
          </w:p>
        </w:tc>
        <w:tc>
          <w:tcPr>
            <w:tcW w:w="26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电话：</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手机：</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邮箱：</w:t>
            </w:r>
          </w:p>
        </w:tc>
      </w:tr>
      <w:tr>
        <w:tblPrEx>
          <w:shd w:val="clear" w:color="auto" w:fill="auto"/>
          <w:tblLayout w:type="fixed"/>
          <w:tblCellMar>
            <w:top w:w="0" w:type="dxa"/>
            <w:left w:w="0" w:type="dxa"/>
            <w:bottom w:w="0" w:type="dxa"/>
            <w:right w:w="0" w:type="dxa"/>
          </w:tblCellMar>
        </w:tblPrEx>
        <w:trPr>
          <w:trHeight w:val="560" w:hRule="atLeast"/>
        </w:trPr>
        <w:tc>
          <w:tcPr>
            <w:tcW w:w="1453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等线 Light" w:hAnsi="等线 Light" w:eastAsia="等线 Light" w:cs="等线 Light"/>
                <w:b/>
                <w:i w:val="0"/>
                <w:color w:val="000000"/>
                <w:sz w:val="20"/>
                <w:szCs w:val="20"/>
                <w:u w:val="none"/>
              </w:rPr>
            </w:pPr>
            <w:r>
              <w:rPr>
                <w:rFonts w:hint="eastAsia" w:ascii="等线 Light" w:hAnsi="等线 Light" w:eastAsia="等线 Light" w:cs="等线 Light"/>
                <w:b/>
                <w:i w:val="0"/>
                <w:color w:val="000000"/>
                <w:kern w:val="0"/>
                <w:sz w:val="20"/>
                <w:szCs w:val="20"/>
                <w:u w:val="none"/>
                <w:lang w:val="en-US" w:eastAsia="zh-CN" w:bidi="ar"/>
              </w:rPr>
              <w:t>本单位声明所有填报信息真实无误，并知晓提供虚假信息可能导致处罚直至承担法律责任。</w:t>
            </w:r>
            <w:r>
              <w:rPr>
                <w:rStyle w:val="26"/>
                <w:lang w:val="en-US" w:eastAsia="zh-CN" w:bidi="ar"/>
              </w:rPr>
              <w:br w:type="textWrapping"/>
            </w:r>
            <w:r>
              <w:rPr>
                <w:rStyle w:val="26"/>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赛事备案申请单位名称：</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 xml:space="preserve">                            盖章：</w:t>
            </w:r>
            <w:r>
              <w:rPr>
                <w:rFonts w:hint="eastAsia" w:ascii="等线 Light" w:hAnsi="等线 Light" w:eastAsia="等线 Light" w:cs="等线 Light"/>
                <w:b/>
                <w:i w:val="0"/>
                <w:color w:val="000000"/>
                <w:kern w:val="0"/>
                <w:sz w:val="20"/>
                <w:szCs w:val="20"/>
                <w:u w:val="none"/>
                <w:lang w:val="en-US" w:eastAsia="zh-CN" w:bidi="ar"/>
              </w:rPr>
              <w:br w:type="textWrapping"/>
            </w:r>
            <w:r>
              <w:rPr>
                <w:rFonts w:hint="eastAsia" w:ascii="等线 Light" w:hAnsi="等线 Light" w:eastAsia="等线 Light" w:cs="等线 Light"/>
                <w:b/>
                <w:i w:val="0"/>
                <w:color w:val="000000"/>
                <w:kern w:val="0"/>
                <w:sz w:val="20"/>
                <w:szCs w:val="20"/>
                <w:u w:val="none"/>
                <w:lang w:val="en-US" w:eastAsia="zh-CN" w:bidi="ar"/>
              </w:rPr>
              <w:t xml:space="preserve">                            日期：2019年XX月XX日</w:t>
            </w:r>
          </w:p>
        </w:tc>
      </w:tr>
      <w:tr>
        <w:tblPrEx>
          <w:tblLayout w:type="fixed"/>
          <w:tblCellMar>
            <w:top w:w="0" w:type="dxa"/>
            <w:left w:w="0" w:type="dxa"/>
            <w:bottom w:w="0" w:type="dxa"/>
            <w:right w:w="0" w:type="dxa"/>
          </w:tblCellMar>
        </w:tblPrEx>
        <w:trPr>
          <w:trHeight w:val="460" w:hRule="atLeast"/>
        </w:trPr>
        <w:tc>
          <w:tcPr>
            <w:tcW w:w="145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等线 Light" w:hAnsi="等线 Light" w:eastAsia="等线 Light" w:cs="等线 Light"/>
                <w:b/>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760" w:hRule="atLeast"/>
        </w:trPr>
        <w:tc>
          <w:tcPr>
            <w:tcW w:w="145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等线 Light" w:hAnsi="等线 Light" w:eastAsia="等线 Light" w:cs="等线 Light"/>
                <w:b/>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30" w:type="dxa"/>
            <w:gridSpan w:val="5"/>
            <w:vMerge w:val="restart"/>
            <w:tcBorders>
              <w:top w:val="nil"/>
              <w:left w:val="nil"/>
              <w:bottom w:val="nil"/>
              <w:right w:val="nil"/>
            </w:tcBorders>
            <w:shd w:val="clear" w:color="auto" w:fill="auto"/>
            <w:tcMar>
              <w:top w:w="10" w:type="dxa"/>
              <w:left w:w="10" w:type="dxa"/>
              <w:right w:w="10" w:type="dxa"/>
            </w:tcMar>
            <w:vAlign w:val="top"/>
          </w:tcPr>
          <w:p>
            <w:pPr>
              <w:keepNext w:val="0"/>
              <w:keepLines w:val="0"/>
              <w:widowControl/>
              <w:suppressLineNumbers w:val="0"/>
              <w:jc w:val="left"/>
              <w:textAlignment w:val="top"/>
              <w:rPr>
                <w:rFonts w:hint="eastAsia" w:ascii="等线 Light" w:hAnsi="等线 Light" w:eastAsia="等线 Light" w:cs="等线 Light"/>
                <w:i w:val="0"/>
                <w:color w:val="000000"/>
                <w:kern w:val="0"/>
                <w:sz w:val="20"/>
                <w:szCs w:val="20"/>
                <w:u w:val="none"/>
                <w:lang w:val="en-US" w:eastAsia="zh-CN" w:bidi="ar"/>
              </w:rPr>
            </w:pPr>
          </w:p>
          <w:p>
            <w:pPr>
              <w:keepNext w:val="0"/>
              <w:keepLines w:val="0"/>
              <w:widowControl/>
              <w:suppressLineNumbers w:val="0"/>
              <w:jc w:val="left"/>
              <w:textAlignment w:val="top"/>
              <w:rPr>
                <w:rFonts w:hint="eastAsia" w:ascii="等线 Light" w:hAnsi="等线 Light" w:eastAsia="等线 Light" w:cs="等线 Light"/>
                <w:i w:val="0"/>
                <w:color w:val="000000"/>
                <w:sz w:val="20"/>
                <w:szCs w:val="20"/>
                <w:u w:val="none"/>
              </w:rPr>
            </w:pPr>
            <w:r>
              <w:rPr>
                <w:rFonts w:hint="eastAsia" w:ascii="等线 Light" w:hAnsi="等线 Light" w:eastAsia="等线 Light" w:cs="等线 Light"/>
                <w:i w:val="0"/>
                <w:color w:val="000000"/>
                <w:kern w:val="0"/>
                <w:sz w:val="20"/>
                <w:szCs w:val="20"/>
                <w:u w:val="none"/>
                <w:lang w:val="en-US" w:eastAsia="zh-CN" w:bidi="ar"/>
              </w:rPr>
              <w:t>备注：</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赛后备案信息表须于赛后1周内通过电子邮件提交至中铁协，邮件名称：赛后备案+“备案赛事名称”。</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提交内容：赛后备案信息表电子文档以及加盖赛事备案申请单位公章的赛后备案信息表（PDF、JPEG格式）；</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中铁协联系方式：</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邮箱：events@ctsa.org.cn，</w:t>
            </w:r>
            <w:r>
              <w:rPr>
                <w:rFonts w:hint="eastAsia" w:ascii="等线 Light" w:hAnsi="等线 Light" w:eastAsia="等线 Light" w:cs="等线 Light"/>
                <w:i w:val="0"/>
                <w:color w:val="000000"/>
                <w:kern w:val="0"/>
                <w:sz w:val="20"/>
                <w:szCs w:val="20"/>
                <w:u w:val="none"/>
                <w:lang w:val="en-US" w:eastAsia="zh-CN" w:bidi="ar"/>
              </w:rPr>
              <w:br w:type="textWrapping"/>
            </w:r>
            <w:r>
              <w:rPr>
                <w:rFonts w:hint="eastAsia" w:ascii="等线 Light" w:hAnsi="等线 Light" w:eastAsia="等线 Light" w:cs="等线 Light"/>
                <w:i w:val="0"/>
                <w:color w:val="000000"/>
                <w:kern w:val="0"/>
                <w:sz w:val="20"/>
                <w:szCs w:val="20"/>
                <w:u w:val="none"/>
                <w:lang w:val="en-US" w:eastAsia="zh-CN" w:bidi="ar"/>
              </w:rPr>
              <w:t>电话：010-68823772</w:t>
            </w:r>
          </w:p>
        </w:tc>
      </w:tr>
      <w:tr>
        <w:tblPrEx>
          <w:shd w:val="clear" w:color="auto" w:fill="auto"/>
          <w:tblLayout w:type="fixed"/>
          <w:tblCellMar>
            <w:top w:w="0" w:type="dxa"/>
            <w:left w:w="0" w:type="dxa"/>
            <w:bottom w:w="0" w:type="dxa"/>
            <w:right w:w="0" w:type="dxa"/>
          </w:tblCellMar>
        </w:tblPrEx>
        <w:trPr>
          <w:trHeight w:val="300" w:hRule="atLeast"/>
        </w:trPr>
        <w:tc>
          <w:tcPr>
            <w:tcW w:w="1453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3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3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3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453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r>
        <w:tblPrEx>
          <w:tblLayout w:type="fixed"/>
          <w:tblCellMar>
            <w:top w:w="0" w:type="dxa"/>
            <w:left w:w="0" w:type="dxa"/>
            <w:bottom w:w="0" w:type="dxa"/>
            <w:right w:w="0" w:type="dxa"/>
          </w:tblCellMar>
        </w:tblPrEx>
        <w:trPr>
          <w:trHeight w:val="160" w:hRule="atLeast"/>
        </w:trPr>
        <w:tc>
          <w:tcPr>
            <w:tcW w:w="14530" w:type="dxa"/>
            <w:gridSpan w:val="5"/>
            <w:vMerge w:val="continue"/>
            <w:tcBorders>
              <w:top w:val="nil"/>
              <w:left w:val="nil"/>
              <w:bottom w:val="nil"/>
              <w:right w:val="nil"/>
            </w:tcBorders>
            <w:shd w:val="clear" w:color="auto" w:fill="auto"/>
            <w:tcMar>
              <w:top w:w="10" w:type="dxa"/>
              <w:left w:w="10" w:type="dxa"/>
              <w:right w:w="10" w:type="dxa"/>
            </w:tcMar>
            <w:vAlign w:val="top"/>
          </w:tcPr>
          <w:p>
            <w:pPr>
              <w:jc w:val="left"/>
              <w:rPr>
                <w:rFonts w:hint="eastAsia" w:ascii="等线 Light" w:hAnsi="等线 Light" w:eastAsia="等线 Light" w:cs="等线 Light"/>
                <w:i w:val="0"/>
                <w:color w:val="000000"/>
                <w:sz w:val="20"/>
                <w:szCs w:val="20"/>
                <w:u w:val="none"/>
              </w:rPr>
            </w:pPr>
          </w:p>
        </w:tc>
      </w:tr>
    </w:tbl>
    <w:p>
      <w:pPr>
        <w:adjustRightInd w:val="0"/>
        <w:snapToGrid w:val="0"/>
        <w:spacing w:line="600" w:lineRule="exact"/>
        <w:rPr>
          <w:rFonts w:hint="default" w:ascii="仿宋" w:hAnsi="仿宋" w:eastAsia="仿宋" w:cs="仿宋"/>
          <w:b/>
          <w:i w:val="0"/>
          <w:color w:val="000000"/>
          <w:sz w:val="24"/>
          <w:szCs w:val="24"/>
          <w:u w:val="none"/>
          <w:lang w:val="en-US" w:eastAsia="zh-CN"/>
        </w:rPr>
      </w:pPr>
    </w:p>
    <w:sectPr>
      <w:pgSz w:w="16838" w:h="11906" w:orient="landscape"/>
      <w:pgMar w:top="1361" w:right="1134" w:bottom="1361" w:left="1134" w:header="851"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38780"/>
    </w:sdtPr>
    <w:sdtEndPr>
      <w:rPr>
        <w:rFonts w:hint="eastAsia" w:ascii="仿宋_GB2312" w:eastAsia="仿宋_GB2312"/>
        <w:sz w:val="28"/>
        <w:szCs w:val="28"/>
      </w:rPr>
    </w:sdtEndPr>
    <w:sdtContent>
      <w:p>
        <w:pPr>
          <w:pStyle w:val="13"/>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2</w:t>
        </w:r>
        <w:r>
          <w:rPr>
            <w:rFonts w:ascii="仿宋_GB2312" w:eastAsia="仿宋_GB2312"/>
            <w:sz w:val="28"/>
            <w:szCs w:val="28"/>
          </w:rPr>
          <w:fldChar w:fldCharType="end"/>
        </w:r>
        <w:r>
          <w:rPr>
            <w:rFonts w:hint="eastAsia" w:ascii="仿宋_GB2312" w:eastAsia="仿宋_GB2312"/>
            <w:sz w:val="28"/>
            <w:szCs w:val="28"/>
          </w:rPr>
          <w:t>-</w:t>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1FB2"/>
    <w:multiLevelType w:val="multilevel"/>
    <w:tmpl w:val="58F81FB2"/>
    <w:lvl w:ilvl="0" w:tentative="0">
      <w:start w:val="1"/>
      <w:numFmt w:val="chineseCounting"/>
      <w:pStyle w:val="2"/>
      <w:suff w:val="space"/>
      <w:lvlText w:val="第%1章"/>
      <w:lvlJc w:val="center"/>
      <w:pPr>
        <w:tabs>
          <w:tab w:val="left" w:pos="420"/>
        </w:tabs>
        <w:ind w:left="0" w:firstLine="0"/>
      </w:pPr>
      <w:rPr>
        <w:rFonts w:hint="eastAsia" w:ascii="宋体" w:hAnsi="宋体" w:eastAsia="宋体" w:cs="宋体"/>
        <w:b/>
        <w:sz w:val="32"/>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7A293360"/>
    <w:multiLevelType w:val="singleLevel"/>
    <w:tmpl w:val="7A293360"/>
    <w:lvl w:ilvl="0" w:tentative="0">
      <w:start w:val="4"/>
      <w:numFmt w:val="chineseCounting"/>
      <w:suff w:val="space"/>
      <w:lvlText w:val="第%1章"/>
      <w:lvlJc w:val="left"/>
      <w:rPr>
        <w:rFonts w:hint="eastAsia"/>
      </w:rPr>
    </w:lvl>
  </w:abstractNum>
  <w:abstractNum w:abstractNumId="2">
    <w:nsid w:val="7CD36E9A"/>
    <w:multiLevelType w:val="multilevel"/>
    <w:tmpl w:val="7CD36E9A"/>
    <w:lvl w:ilvl="0" w:tentative="0">
      <w:start w:val="2"/>
      <w:numFmt w:val="japaneseCounting"/>
      <w:lvlText w:val="（%1）"/>
      <w:lvlJc w:val="left"/>
      <w:pPr>
        <w:ind w:left="1405" w:hanging="855"/>
      </w:pPr>
      <w:rPr>
        <w:rFonts w:hint="default"/>
        <w:b w:val="0"/>
      </w:rPr>
    </w:lvl>
    <w:lvl w:ilvl="1" w:tentative="0">
      <w:start w:val="1"/>
      <w:numFmt w:val="lowerLetter"/>
      <w:lvlText w:val="%2)"/>
      <w:lvlJc w:val="left"/>
      <w:pPr>
        <w:ind w:left="1390" w:hanging="420"/>
      </w:pPr>
    </w:lvl>
    <w:lvl w:ilvl="2" w:tentative="0">
      <w:start w:val="1"/>
      <w:numFmt w:val="lowerRoman"/>
      <w:lvlText w:val="%3."/>
      <w:lvlJc w:val="right"/>
      <w:pPr>
        <w:ind w:left="1810" w:hanging="420"/>
      </w:pPr>
    </w:lvl>
    <w:lvl w:ilvl="3" w:tentative="0">
      <w:start w:val="1"/>
      <w:numFmt w:val="decimal"/>
      <w:lvlText w:val="%4."/>
      <w:lvlJc w:val="left"/>
      <w:pPr>
        <w:ind w:left="2230" w:hanging="420"/>
      </w:pPr>
    </w:lvl>
    <w:lvl w:ilvl="4" w:tentative="0">
      <w:start w:val="1"/>
      <w:numFmt w:val="lowerLetter"/>
      <w:lvlText w:val="%5)"/>
      <w:lvlJc w:val="left"/>
      <w:pPr>
        <w:ind w:left="2650" w:hanging="420"/>
      </w:pPr>
    </w:lvl>
    <w:lvl w:ilvl="5" w:tentative="0">
      <w:start w:val="1"/>
      <w:numFmt w:val="lowerRoman"/>
      <w:lvlText w:val="%6."/>
      <w:lvlJc w:val="right"/>
      <w:pPr>
        <w:ind w:left="3070" w:hanging="420"/>
      </w:pPr>
    </w:lvl>
    <w:lvl w:ilvl="6" w:tentative="0">
      <w:start w:val="1"/>
      <w:numFmt w:val="decimal"/>
      <w:lvlText w:val="%7."/>
      <w:lvlJc w:val="left"/>
      <w:pPr>
        <w:ind w:left="3490" w:hanging="420"/>
      </w:pPr>
    </w:lvl>
    <w:lvl w:ilvl="7" w:tentative="0">
      <w:start w:val="1"/>
      <w:numFmt w:val="lowerLetter"/>
      <w:lvlText w:val="%8)"/>
      <w:lvlJc w:val="left"/>
      <w:pPr>
        <w:ind w:left="3910" w:hanging="420"/>
      </w:pPr>
    </w:lvl>
    <w:lvl w:ilvl="8" w:tentative="0">
      <w:start w:val="1"/>
      <w:numFmt w:val="lowerRoman"/>
      <w:lvlText w:val="%9."/>
      <w:lvlJc w:val="right"/>
      <w:pPr>
        <w:ind w:left="43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377"/>
    <w:rsid w:val="00042B08"/>
    <w:rsid w:val="00052F08"/>
    <w:rsid w:val="00057EB5"/>
    <w:rsid w:val="00060A88"/>
    <w:rsid w:val="00062436"/>
    <w:rsid w:val="00090BA9"/>
    <w:rsid w:val="00091017"/>
    <w:rsid w:val="00091374"/>
    <w:rsid w:val="00092612"/>
    <w:rsid w:val="00095739"/>
    <w:rsid w:val="00096942"/>
    <w:rsid w:val="000A5F06"/>
    <w:rsid w:val="000A67C5"/>
    <w:rsid w:val="000A6E5A"/>
    <w:rsid w:val="000B1D3F"/>
    <w:rsid w:val="000B2C69"/>
    <w:rsid w:val="000B4DA8"/>
    <w:rsid w:val="000B4EFA"/>
    <w:rsid w:val="000B726E"/>
    <w:rsid w:val="000B755E"/>
    <w:rsid w:val="000D1B83"/>
    <w:rsid w:val="000D29B3"/>
    <w:rsid w:val="000D7046"/>
    <w:rsid w:val="000E734A"/>
    <w:rsid w:val="000F5BC6"/>
    <w:rsid w:val="001064D5"/>
    <w:rsid w:val="00130476"/>
    <w:rsid w:val="00135A14"/>
    <w:rsid w:val="00172A27"/>
    <w:rsid w:val="00172D9F"/>
    <w:rsid w:val="001757D1"/>
    <w:rsid w:val="0017703B"/>
    <w:rsid w:val="0017785F"/>
    <w:rsid w:val="001A3ECE"/>
    <w:rsid w:val="001B0894"/>
    <w:rsid w:val="001E0DE0"/>
    <w:rsid w:val="001E35EA"/>
    <w:rsid w:val="001E7684"/>
    <w:rsid w:val="001F475D"/>
    <w:rsid w:val="001F4FFA"/>
    <w:rsid w:val="00200662"/>
    <w:rsid w:val="00236ABD"/>
    <w:rsid w:val="002532A6"/>
    <w:rsid w:val="00263BF6"/>
    <w:rsid w:val="002658C7"/>
    <w:rsid w:val="00266A9A"/>
    <w:rsid w:val="00270600"/>
    <w:rsid w:val="00276C59"/>
    <w:rsid w:val="00277BA0"/>
    <w:rsid w:val="002834C2"/>
    <w:rsid w:val="002A098C"/>
    <w:rsid w:val="002A1240"/>
    <w:rsid w:val="002B5DBD"/>
    <w:rsid w:val="002C07DA"/>
    <w:rsid w:val="002C1507"/>
    <w:rsid w:val="002C43B3"/>
    <w:rsid w:val="002C58FF"/>
    <w:rsid w:val="002C6EC1"/>
    <w:rsid w:val="002D77F3"/>
    <w:rsid w:val="002F7659"/>
    <w:rsid w:val="00307788"/>
    <w:rsid w:val="003121A2"/>
    <w:rsid w:val="00333DDF"/>
    <w:rsid w:val="00342327"/>
    <w:rsid w:val="00351D56"/>
    <w:rsid w:val="00356275"/>
    <w:rsid w:val="00361636"/>
    <w:rsid w:val="00364BDB"/>
    <w:rsid w:val="0037232A"/>
    <w:rsid w:val="00373F0C"/>
    <w:rsid w:val="00374544"/>
    <w:rsid w:val="00374A41"/>
    <w:rsid w:val="00385485"/>
    <w:rsid w:val="003A7989"/>
    <w:rsid w:val="003B1E59"/>
    <w:rsid w:val="003B3D73"/>
    <w:rsid w:val="003B64E6"/>
    <w:rsid w:val="003B6878"/>
    <w:rsid w:val="003C55BA"/>
    <w:rsid w:val="003C6418"/>
    <w:rsid w:val="003C7E0C"/>
    <w:rsid w:val="003D152B"/>
    <w:rsid w:val="003D65F2"/>
    <w:rsid w:val="003E3DD4"/>
    <w:rsid w:val="003F399B"/>
    <w:rsid w:val="004108BB"/>
    <w:rsid w:val="00413111"/>
    <w:rsid w:val="00414A7E"/>
    <w:rsid w:val="00424C71"/>
    <w:rsid w:val="00427750"/>
    <w:rsid w:val="00442C31"/>
    <w:rsid w:val="00447361"/>
    <w:rsid w:val="00447378"/>
    <w:rsid w:val="004504FF"/>
    <w:rsid w:val="004567D2"/>
    <w:rsid w:val="0046341A"/>
    <w:rsid w:val="0048581D"/>
    <w:rsid w:val="004931CC"/>
    <w:rsid w:val="0049678F"/>
    <w:rsid w:val="00496890"/>
    <w:rsid w:val="0049744C"/>
    <w:rsid w:val="004B0953"/>
    <w:rsid w:val="004B0CEC"/>
    <w:rsid w:val="004C1F40"/>
    <w:rsid w:val="004C4A23"/>
    <w:rsid w:val="004E1748"/>
    <w:rsid w:val="004F5082"/>
    <w:rsid w:val="004F56BC"/>
    <w:rsid w:val="00507888"/>
    <w:rsid w:val="00510C28"/>
    <w:rsid w:val="00513237"/>
    <w:rsid w:val="00525F78"/>
    <w:rsid w:val="00536AE9"/>
    <w:rsid w:val="005442B3"/>
    <w:rsid w:val="00566724"/>
    <w:rsid w:val="005706C0"/>
    <w:rsid w:val="00575031"/>
    <w:rsid w:val="005A23FB"/>
    <w:rsid w:val="005A2B03"/>
    <w:rsid w:val="005A78E0"/>
    <w:rsid w:val="005C1F71"/>
    <w:rsid w:val="005C1F90"/>
    <w:rsid w:val="005C594F"/>
    <w:rsid w:val="005D0435"/>
    <w:rsid w:val="005E2233"/>
    <w:rsid w:val="005E2F81"/>
    <w:rsid w:val="005F64AA"/>
    <w:rsid w:val="005F71EB"/>
    <w:rsid w:val="00600C32"/>
    <w:rsid w:val="006025C5"/>
    <w:rsid w:val="006145E4"/>
    <w:rsid w:val="006228EB"/>
    <w:rsid w:val="00633D31"/>
    <w:rsid w:val="00640571"/>
    <w:rsid w:val="00642386"/>
    <w:rsid w:val="006465DB"/>
    <w:rsid w:val="00653937"/>
    <w:rsid w:val="00655C78"/>
    <w:rsid w:val="00664A56"/>
    <w:rsid w:val="00671A9A"/>
    <w:rsid w:val="00674BD4"/>
    <w:rsid w:val="0067760B"/>
    <w:rsid w:val="00687D9A"/>
    <w:rsid w:val="0069000E"/>
    <w:rsid w:val="0069559A"/>
    <w:rsid w:val="006A3864"/>
    <w:rsid w:val="006C7323"/>
    <w:rsid w:val="006D7BBD"/>
    <w:rsid w:val="006F170F"/>
    <w:rsid w:val="007034FB"/>
    <w:rsid w:val="0070502D"/>
    <w:rsid w:val="00710FE8"/>
    <w:rsid w:val="00720403"/>
    <w:rsid w:val="00732B2B"/>
    <w:rsid w:val="007369C4"/>
    <w:rsid w:val="00763BA9"/>
    <w:rsid w:val="0076489E"/>
    <w:rsid w:val="00766C9E"/>
    <w:rsid w:val="007751EE"/>
    <w:rsid w:val="00784C78"/>
    <w:rsid w:val="00791350"/>
    <w:rsid w:val="00791DDC"/>
    <w:rsid w:val="007978E6"/>
    <w:rsid w:val="007A1B3E"/>
    <w:rsid w:val="007A3624"/>
    <w:rsid w:val="007B256A"/>
    <w:rsid w:val="007B42B0"/>
    <w:rsid w:val="007B49E2"/>
    <w:rsid w:val="007B6A29"/>
    <w:rsid w:val="007C6A2A"/>
    <w:rsid w:val="007C6E25"/>
    <w:rsid w:val="007F306F"/>
    <w:rsid w:val="007F5D4D"/>
    <w:rsid w:val="008078B1"/>
    <w:rsid w:val="0081153E"/>
    <w:rsid w:val="00812B18"/>
    <w:rsid w:val="00813A09"/>
    <w:rsid w:val="00816741"/>
    <w:rsid w:val="008177BC"/>
    <w:rsid w:val="008202CD"/>
    <w:rsid w:val="00826110"/>
    <w:rsid w:val="008335AF"/>
    <w:rsid w:val="0083405D"/>
    <w:rsid w:val="00840A7F"/>
    <w:rsid w:val="008413C7"/>
    <w:rsid w:val="008437BB"/>
    <w:rsid w:val="00847DC4"/>
    <w:rsid w:val="008527A4"/>
    <w:rsid w:val="00856000"/>
    <w:rsid w:val="0085759B"/>
    <w:rsid w:val="008610D1"/>
    <w:rsid w:val="00870205"/>
    <w:rsid w:val="00873238"/>
    <w:rsid w:val="008A04E3"/>
    <w:rsid w:val="008A5E79"/>
    <w:rsid w:val="008B7F68"/>
    <w:rsid w:val="008C0C00"/>
    <w:rsid w:val="008C2E86"/>
    <w:rsid w:val="008D738F"/>
    <w:rsid w:val="008E36FC"/>
    <w:rsid w:val="008E39E6"/>
    <w:rsid w:val="008E4F80"/>
    <w:rsid w:val="008F3FE3"/>
    <w:rsid w:val="008F5680"/>
    <w:rsid w:val="00915481"/>
    <w:rsid w:val="00972B5E"/>
    <w:rsid w:val="009814E4"/>
    <w:rsid w:val="00982AEE"/>
    <w:rsid w:val="009835D2"/>
    <w:rsid w:val="009852E7"/>
    <w:rsid w:val="00987DBE"/>
    <w:rsid w:val="00994CA0"/>
    <w:rsid w:val="00995C34"/>
    <w:rsid w:val="009A13E1"/>
    <w:rsid w:val="009A4CC8"/>
    <w:rsid w:val="009A75E8"/>
    <w:rsid w:val="009E5BAE"/>
    <w:rsid w:val="009E68C7"/>
    <w:rsid w:val="009E6B7D"/>
    <w:rsid w:val="00A00157"/>
    <w:rsid w:val="00A053A0"/>
    <w:rsid w:val="00A12CFB"/>
    <w:rsid w:val="00A40129"/>
    <w:rsid w:val="00A436A2"/>
    <w:rsid w:val="00A4436C"/>
    <w:rsid w:val="00A44508"/>
    <w:rsid w:val="00A45F1E"/>
    <w:rsid w:val="00A6298B"/>
    <w:rsid w:val="00A7185E"/>
    <w:rsid w:val="00A7736A"/>
    <w:rsid w:val="00A77F88"/>
    <w:rsid w:val="00A80115"/>
    <w:rsid w:val="00A85186"/>
    <w:rsid w:val="00AB1D51"/>
    <w:rsid w:val="00AC1E81"/>
    <w:rsid w:val="00AD166D"/>
    <w:rsid w:val="00AD1B57"/>
    <w:rsid w:val="00AD1F8C"/>
    <w:rsid w:val="00AD77B5"/>
    <w:rsid w:val="00AE0E08"/>
    <w:rsid w:val="00AE472F"/>
    <w:rsid w:val="00AE57B0"/>
    <w:rsid w:val="00AF6A8D"/>
    <w:rsid w:val="00B04D63"/>
    <w:rsid w:val="00B063BC"/>
    <w:rsid w:val="00B12898"/>
    <w:rsid w:val="00B13AE3"/>
    <w:rsid w:val="00B13C2A"/>
    <w:rsid w:val="00B171A5"/>
    <w:rsid w:val="00B24C1C"/>
    <w:rsid w:val="00B30B35"/>
    <w:rsid w:val="00B378AE"/>
    <w:rsid w:val="00B40406"/>
    <w:rsid w:val="00B45F84"/>
    <w:rsid w:val="00B5423C"/>
    <w:rsid w:val="00B60679"/>
    <w:rsid w:val="00B82808"/>
    <w:rsid w:val="00BA1BDC"/>
    <w:rsid w:val="00BA3D6C"/>
    <w:rsid w:val="00BB28A1"/>
    <w:rsid w:val="00BB3BD5"/>
    <w:rsid w:val="00BD3321"/>
    <w:rsid w:val="00BE06F2"/>
    <w:rsid w:val="00BE3458"/>
    <w:rsid w:val="00BE6170"/>
    <w:rsid w:val="00BE6937"/>
    <w:rsid w:val="00BF0DF5"/>
    <w:rsid w:val="00C145BD"/>
    <w:rsid w:val="00C152CA"/>
    <w:rsid w:val="00C374BF"/>
    <w:rsid w:val="00C43969"/>
    <w:rsid w:val="00C52187"/>
    <w:rsid w:val="00C53857"/>
    <w:rsid w:val="00C55F07"/>
    <w:rsid w:val="00C6798E"/>
    <w:rsid w:val="00C72286"/>
    <w:rsid w:val="00C75584"/>
    <w:rsid w:val="00C83EA9"/>
    <w:rsid w:val="00C842FD"/>
    <w:rsid w:val="00C85068"/>
    <w:rsid w:val="00C87262"/>
    <w:rsid w:val="00C90E79"/>
    <w:rsid w:val="00CA2ACF"/>
    <w:rsid w:val="00CA5028"/>
    <w:rsid w:val="00CA6FE8"/>
    <w:rsid w:val="00CB61FA"/>
    <w:rsid w:val="00CC1968"/>
    <w:rsid w:val="00CC23F7"/>
    <w:rsid w:val="00CD59D9"/>
    <w:rsid w:val="00CE5563"/>
    <w:rsid w:val="00CE63C2"/>
    <w:rsid w:val="00CF3C6B"/>
    <w:rsid w:val="00D02993"/>
    <w:rsid w:val="00D07D5A"/>
    <w:rsid w:val="00D10F1B"/>
    <w:rsid w:val="00D21503"/>
    <w:rsid w:val="00D2667A"/>
    <w:rsid w:val="00D27EAF"/>
    <w:rsid w:val="00D31ACE"/>
    <w:rsid w:val="00D3225D"/>
    <w:rsid w:val="00D3757A"/>
    <w:rsid w:val="00D41956"/>
    <w:rsid w:val="00D52204"/>
    <w:rsid w:val="00D531D2"/>
    <w:rsid w:val="00D5502F"/>
    <w:rsid w:val="00D63587"/>
    <w:rsid w:val="00D85B91"/>
    <w:rsid w:val="00D90DB8"/>
    <w:rsid w:val="00DA3F89"/>
    <w:rsid w:val="00DA620B"/>
    <w:rsid w:val="00DA6537"/>
    <w:rsid w:val="00DB0F23"/>
    <w:rsid w:val="00DC7582"/>
    <w:rsid w:val="00DD3CA7"/>
    <w:rsid w:val="00DD7162"/>
    <w:rsid w:val="00DD73F9"/>
    <w:rsid w:val="00DF1684"/>
    <w:rsid w:val="00E15DE5"/>
    <w:rsid w:val="00E20000"/>
    <w:rsid w:val="00E23CD6"/>
    <w:rsid w:val="00E30BCB"/>
    <w:rsid w:val="00E32D8D"/>
    <w:rsid w:val="00E3493B"/>
    <w:rsid w:val="00E43B9C"/>
    <w:rsid w:val="00E45B38"/>
    <w:rsid w:val="00E53476"/>
    <w:rsid w:val="00E53AD8"/>
    <w:rsid w:val="00E57CB5"/>
    <w:rsid w:val="00E6430D"/>
    <w:rsid w:val="00E65ABA"/>
    <w:rsid w:val="00E7470A"/>
    <w:rsid w:val="00E75FD3"/>
    <w:rsid w:val="00E8241B"/>
    <w:rsid w:val="00E8281C"/>
    <w:rsid w:val="00E82C4D"/>
    <w:rsid w:val="00E833CA"/>
    <w:rsid w:val="00EA28AF"/>
    <w:rsid w:val="00EB16F0"/>
    <w:rsid w:val="00EC0ADF"/>
    <w:rsid w:val="00EC111A"/>
    <w:rsid w:val="00EE1A14"/>
    <w:rsid w:val="00EF0027"/>
    <w:rsid w:val="00EF159C"/>
    <w:rsid w:val="00F1173B"/>
    <w:rsid w:val="00F12172"/>
    <w:rsid w:val="00F26E00"/>
    <w:rsid w:val="00F275C1"/>
    <w:rsid w:val="00F3277F"/>
    <w:rsid w:val="00F33E4B"/>
    <w:rsid w:val="00F40B1C"/>
    <w:rsid w:val="00F522FF"/>
    <w:rsid w:val="00F54D29"/>
    <w:rsid w:val="00F57D52"/>
    <w:rsid w:val="00F62C89"/>
    <w:rsid w:val="00F646D9"/>
    <w:rsid w:val="00F64A50"/>
    <w:rsid w:val="00F662D2"/>
    <w:rsid w:val="00F67DFC"/>
    <w:rsid w:val="00F76E88"/>
    <w:rsid w:val="00F81613"/>
    <w:rsid w:val="00F83B22"/>
    <w:rsid w:val="00F86DDF"/>
    <w:rsid w:val="00F906BA"/>
    <w:rsid w:val="00FB094B"/>
    <w:rsid w:val="00FB10BB"/>
    <w:rsid w:val="00FC29FD"/>
    <w:rsid w:val="00FC445D"/>
    <w:rsid w:val="00FC4C61"/>
    <w:rsid w:val="00FD6D11"/>
    <w:rsid w:val="00FE6B83"/>
    <w:rsid w:val="00FF1B9E"/>
    <w:rsid w:val="01D870A8"/>
    <w:rsid w:val="04045942"/>
    <w:rsid w:val="0407341E"/>
    <w:rsid w:val="08A36DD7"/>
    <w:rsid w:val="09991397"/>
    <w:rsid w:val="0C6B1894"/>
    <w:rsid w:val="0D7E29AA"/>
    <w:rsid w:val="0DCF3589"/>
    <w:rsid w:val="0F154A0F"/>
    <w:rsid w:val="0F6163DA"/>
    <w:rsid w:val="102C3790"/>
    <w:rsid w:val="109A1B2C"/>
    <w:rsid w:val="13275A6D"/>
    <w:rsid w:val="139B1AE9"/>
    <w:rsid w:val="13B224D6"/>
    <w:rsid w:val="16452B04"/>
    <w:rsid w:val="1AB36C40"/>
    <w:rsid w:val="215F16F4"/>
    <w:rsid w:val="21981EEB"/>
    <w:rsid w:val="23763AA9"/>
    <w:rsid w:val="265B2563"/>
    <w:rsid w:val="28345EED"/>
    <w:rsid w:val="28F512F2"/>
    <w:rsid w:val="29C666A8"/>
    <w:rsid w:val="2A6C1F96"/>
    <w:rsid w:val="2AAA0369"/>
    <w:rsid w:val="2BAD63CF"/>
    <w:rsid w:val="2D1F2468"/>
    <w:rsid w:val="2EA11945"/>
    <w:rsid w:val="2F966A21"/>
    <w:rsid w:val="2FF15086"/>
    <w:rsid w:val="31952358"/>
    <w:rsid w:val="34EB194E"/>
    <w:rsid w:val="3543150A"/>
    <w:rsid w:val="366F6F6D"/>
    <w:rsid w:val="36F05BE5"/>
    <w:rsid w:val="37E97A37"/>
    <w:rsid w:val="41BF5E69"/>
    <w:rsid w:val="4320797F"/>
    <w:rsid w:val="449E4968"/>
    <w:rsid w:val="44B80F27"/>
    <w:rsid w:val="462E1225"/>
    <w:rsid w:val="484315B6"/>
    <w:rsid w:val="4B7C3587"/>
    <w:rsid w:val="4BA96778"/>
    <w:rsid w:val="50CA73AF"/>
    <w:rsid w:val="577A73FB"/>
    <w:rsid w:val="57B56CB8"/>
    <w:rsid w:val="57E066D2"/>
    <w:rsid w:val="59512C99"/>
    <w:rsid w:val="5BC32C9B"/>
    <w:rsid w:val="5C275CCA"/>
    <w:rsid w:val="5CB054ED"/>
    <w:rsid w:val="5D442C1F"/>
    <w:rsid w:val="5E9B7B71"/>
    <w:rsid w:val="6194501C"/>
    <w:rsid w:val="65BF2760"/>
    <w:rsid w:val="6A01434D"/>
    <w:rsid w:val="6BAF5D39"/>
    <w:rsid w:val="6CAD0197"/>
    <w:rsid w:val="6CD60997"/>
    <w:rsid w:val="6ED47682"/>
    <w:rsid w:val="70067143"/>
    <w:rsid w:val="726F3EDC"/>
    <w:rsid w:val="745E1E28"/>
    <w:rsid w:val="75335BFE"/>
    <w:rsid w:val="75ED5747"/>
    <w:rsid w:val="77762D1E"/>
    <w:rsid w:val="77793F71"/>
    <w:rsid w:val="77C575E9"/>
    <w:rsid w:val="782F7926"/>
    <w:rsid w:val="78D324A6"/>
    <w:rsid w:val="79192D80"/>
    <w:rsid w:val="7A303958"/>
    <w:rsid w:val="7EAD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1">
    <w:name w:val="Plain Text"/>
    <w:basedOn w:val="1"/>
    <w:qFormat/>
    <w:uiPriority w:val="0"/>
    <w:rPr>
      <w:rFonts w:ascii="宋体" w:hAnsi="Courier New" w:eastAsia="宋体"/>
      <w:szCs w:val="20"/>
    </w:rPr>
  </w:style>
  <w:style w:type="paragraph" w:styleId="12">
    <w:name w:val="Balloon Text"/>
    <w:basedOn w:val="1"/>
    <w:link w:val="22"/>
    <w:qFormat/>
    <w:uiPriority w:val="0"/>
    <w:rPr>
      <w:sz w:val="18"/>
      <w:szCs w:val="18"/>
    </w:rPr>
  </w:style>
  <w:style w:type="paragraph" w:styleId="13">
    <w:name w:val="footer"/>
    <w:basedOn w:val="1"/>
    <w:link w:val="21"/>
    <w:qFormat/>
    <w:uiPriority w:val="99"/>
    <w:pPr>
      <w:tabs>
        <w:tab w:val="center" w:pos="4153"/>
        <w:tab w:val="right" w:pos="8306"/>
      </w:tabs>
      <w:snapToGrid w:val="0"/>
      <w:jc w:val="left"/>
    </w:pPr>
    <w:rPr>
      <w:sz w:val="18"/>
      <w:szCs w:val="18"/>
    </w:rPr>
  </w:style>
  <w:style w:type="paragraph" w:styleId="1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Default"/>
    <w:unhideWhenUsed/>
    <w:qFormat/>
    <w:uiPriority w:val="99"/>
    <w:pPr>
      <w:widowControl w:val="0"/>
      <w:autoSpaceDE w:val="0"/>
      <w:autoSpaceDN w:val="0"/>
      <w:adjustRightInd w:val="0"/>
    </w:pPr>
    <w:rPr>
      <w:rFonts w:hint="eastAsia" w:ascii="仿宋_GB2312" w:hAnsi="仿宋_GB2312" w:eastAsia="仿宋_GB2312" w:cstheme="minorBidi"/>
      <w:color w:val="000000"/>
      <w:sz w:val="24"/>
      <w:lang w:val="en-US" w:eastAsia="zh-CN" w:bidi="ar-SA"/>
    </w:rPr>
  </w:style>
  <w:style w:type="paragraph" w:styleId="19">
    <w:name w:val="List Paragraph"/>
    <w:basedOn w:val="1"/>
    <w:qFormat/>
    <w:uiPriority w:val="99"/>
    <w:pPr>
      <w:ind w:firstLine="420" w:firstLineChars="200"/>
    </w:pPr>
  </w:style>
  <w:style w:type="character" w:customStyle="1" w:styleId="20">
    <w:name w:val="页眉 字符"/>
    <w:basedOn w:val="17"/>
    <w:link w:val="14"/>
    <w:qFormat/>
    <w:uiPriority w:val="0"/>
    <w:rPr>
      <w:rFonts w:asciiTheme="minorHAnsi" w:hAnsiTheme="minorHAnsi" w:eastAsiaTheme="minorEastAsia" w:cstheme="minorBidi"/>
      <w:kern w:val="2"/>
      <w:sz w:val="18"/>
      <w:szCs w:val="18"/>
    </w:rPr>
  </w:style>
  <w:style w:type="character" w:customStyle="1" w:styleId="21">
    <w:name w:val="页脚 字符"/>
    <w:basedOn w:val="17"/>
    <w:link w:val="13"/>
    <w:qFormat/>
    <w:uiPriority w:val="99"/>
    <w:rPr>
      <w:rFonts w:asciiTheme="minorHAnsi" w:hAnsiTheme="minorHAnsi" w:eastAsiaTheme="minorEastAsia" w:cstheme="minorBidi"/>
      <w:kern w:val="2"/>
      <w:sz w:val="18"/>
      <w:szCs w:val="18"/>
    </w:rPr>
  </w:style>
  <w:style w:type="character" w:customStyle="1" w:styleId="22">
    <w:name w:val="批注框文本 字符"/>
    <w:basedOn w:val="17"/>
    <w:link w:val="12"/>
    <w:qFormat/>
    <w:uiPriority w:val="0"/>
    <w:rPr>
      <w:rFonts w:asciiTheme="minorHAnsi" w:hAnsiTheme="minorHAnsi" w:eastAsiaTheme="minorEastAsia" w:cstheme="minorBidi"/>
      <w:kern w:val="2"/>
      <w:sz w:val="18"/>
      <w:szCs w:val="18"/>
    </w:rPr>
  </w:style>
  <w:style w:type="character" w:customStyle="1" w:styleId="23">
    <w:name w:val="font11"/>
    <w:basedOn w:val="17"/>
    <w:qFormat/>
    <w:uiPriority w:val="0"/>
    <w:rPr>
      <w:rFonts w:hint="eastAsia" w:ascii="等线 Light" w:hAnsi="等线 Light" w:eastAsia="等线 Light" w:cs="等线 Light"/>
      <w:b/>
      <w:color w:val="000000"/>
      <w:sz w:val="20"/>
      <w:szCs w:val="20"/>
      <w:u w:val="none"/>
    </w:rPr>
  </w:style>
  <w:style w:type="character" w:customStyle="1" w:styleId="24">
    <w:name w:val="font01"/>
    <w:basedOn w:val="17"/>
    <w:qFormat/>
    <w:uiPriority w:val="0"/>
    <w:rPr>
      <w:rFonts w:ascii="Arial" w:hAnsi="Arial" w:cs="Arial"/>
      <w:b/>
      <w:color w:val="000000"/>
      <w:sz w:val="20"/>
      <w:szCs w:val="20"/>
      <w:u w:val="none"/>
    </w:rPr>
  </w:style>
  <w:style w:type="character" w:customStyle="1" w:styleId="25">
    <w:name w:val="font31"/>
    <w:basedOn w:val="17"/>
    <w:qFormat/>
    <w:uiPriority w:val="0"/>
    <w:rPr>
      <w:rFonts w:hint="eastAsia" w:ascii="等线 Light" w:hAnsi="等线 Light" w:eastAsia="等线 Light" w:cs="等线 Light"/>
      <w:color w:val="000000"/>
      <w:sz w:val="20"/>
      <w:szCs w:val="20"/>
      <w:u w:val="none"/>
    </w:rPr>
  </w:style>
  <w:style w:type="character" w:customStyle="1" w:styleId="26">
    <w:name w:val="font21"/>
    <w:basedOn w:val="17"/>
    <w:qFormat/>
    <w:uiPriority w:val="0"/>
    <w:rPr>
      <w:rFonts w:hint="eastAsia" w:ascii="等线 Light" w:hAnsi="等线 Light" w:eastAsia="等线 Light" w:cs="等线 Light"/>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957</Words>
  <Characters>5456</Characters>
  <Lines>45</Lines>
  <Paragraphs>12</Paragraphs>
  <TotalTime>46</TotalTime>
  <ScaleCrop>false</ScaleCrop>
  <LinksUpToDate>false</LinksUpToDate>
  <CharactersWithSpaces>6401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2017-04-20T02:12:00Z</dcterms:created>
  <dc:creator>Administrator</dc:creator>
  <cp:lastModifiedBy>雨季未名</cp:lastModifiedBy>
  <dcterms:modified xsi:type="dcterms:W3CDTF">2019-03-29T04:12:34Z</dcterms:modified>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