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4E1C" w:rsidRDefault="00901265">
      <w:pPr>
        <w:spacing w:line="600" w:lineRule="exact"/>
        <w:jc w:val="center"/>
        <w:rPr>
          <w:rFonts w:ascii="STZhongsong" w:eastAsia="STZhongsong" w:hAnsi="STZhongsong" w:cs="STZhongsong"/>
          <w:sz w:val="36"/>
          <w:szCs w:val="36"/>
        </w:rPr>
      </w:pPr>
      <w:r>
        <w:rPr>
          <w:rFonts w:ascii="STZhongsong" w:eastAsia="STZhongsong" w:hAnsi="STZhongsong" w:cs="STZhongsong" w:hint="eastAsia"/>
          <w:sz w:val="36"/>
          <w:szCs w:val="36"/>
        </w:rPr>
        <w:t>中国铁人三项运动协会</w:t>
      </w:r>
    </w:p>
    <w:p w:rsidR="00B74E1C" w:rsidRDefault="00901265">
      <w:pPr>
        <w:spacing w:line="600" w:lineRule="exact"/>
        <w:jc w:val="center"/>
        <w:rPr>
          <w:rFonts w:ascii="STZhongsong" w:eastAsia="STZhongsong" w:hAnsi="STZhongsong" w:cs="STZhongsong"/>
          <w:sz w:val="36"/>
          <w:szCs w:val="36"/>
        </w:rPr>
      </w:pPr>
      <w:r>
        <w:rPr>
          <w:rFonts w:ascii="STZhongsong" w:eastAsia="STZhongsong" w:hAnsi="STZhongsong" w:cs="STZhongsong" w:hint="eastAsia"/>
          <w:sz w:val="36"/>
          <w:szCs w:val="36"/>
        </w:rPr>
        <w:t>注册认证赛事等级评定办法</w:t>
      </w:r>
    </w:p>
    <w:p w:rsidR="00B74E1C" w:rsidRDefault="00B74E1C">
      <w:pPr>
        <w:spacing w:line="600" w:lineRule="exact"/>
        <w:rPr>
          <w:rFonts w:ascii="STZhongsong" w:eastAsia="STZhongsong" w:hAnsi="STZhongsong" w:cs="STZhongsong"/>
          <w:sz w:val="36"/>
          <w:szCs w:val="36"/>
        </w:rPr>
      </w:pPr>
    </w:p>
    <w:p w:rsidR="00B74E1C" w:rsidRDefault="00901265">
      <w:pPr>
        <w:spacing w:line="600" w:lineRule="exact"/>
        <w:ind w:firstLine="64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为进一步规范中国铁人三项运动协会（以下简称“中铁协”）注册认证赛事管理，提高注册认证赛事办赛水平，促进铁人三项运动健康有序发展，根据《中国铁人三项运动协会赛事管理办法》，</w:t>
      </w:r>
      <w:r>
        <w:rPr>
          <w:rFonts w:ascii="仿宋" w:eastAsia="仿宋" w:hAnsi="仿宋" w:cs="仿宋" w:hint="eastAsia"/>
          <w:kern w:val="0"/>
          <w:sz w:val="28"/>
          <w:szCs w:val="28"/>
        </w:rPr>
        <w:t>特制定本办法。</w:t>
      </w:r>
    </w:p>
    <w:p w:rsidR="00B74E1C" w:rsidRDefault="00901265">
      <w:pPr>
        <w:spacing w:line="600" w:lineRule="exact"/>
        <w:ind w:firstLineChars="200" w:firstLine="562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一、评定范围</w:t>
      </w:r>
    </w:p>
    <w:p w:rsidR="00B74E1C" w:rsidRDefault="00901265">
      <w:pPr>
        <w:spacing w:line="60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中铁协注册认证赛事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74E1C" w:rsidRDefault="00901265">
      <w:pPr>
        <w:adjustRightInd w:val="0"/>
        <w:snapToGrid w:val="0"/>
        <w:spacing w:line="600" w:lineRule="exact"/>
        <w:ind w:firstLineChars="200" w:firstLine="562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二、等级划分</w:t>
      </w:r>
    </w:p>
    <w:p w:rsidR="00B74E1C" w:rsidRDefault="00901265">
      <w:pPr>
        <w:tabs>
          <w:tab w:val="left" w:pos="0"/>
        </w:tabs>
        <w:overflowPunct w:val="0"/>
        <w:adjustRightInd w:val="0"/>
        <w:snapToGrid w:val="0"/>
        <w:spacing w:line="600" w:lineRule="exact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中铁协注册认证赛事根据办赛水平分为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B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C</w:t>
      </w:r>
      <w:r>
        <w:rPr>
          <w:rFonts w:ascii="仿宋" w:eastAsia="仿宋" w:hAnsi="仿宋" w:cs="仿宋" w:hint="eastAsia"/>
          <w:sz w:val="28"/>
          <w:szCs w:val="28"/>
        </w:rPr>
        <w:t>三个级别。</w:t>
      </w:r>
    </w:p>
    <w:p w:rsidR="00B74E1C" w:rsidRDefault="00901265">
      <w:pPr>
        <w:tabs>
          <w:tab w:val="left" w:pos="0"/>
        </w:tabs>
        <w:overflowPunct w:val="0"/>
        <w:adjustRightInd w:val="0"/>
        <w:snapToGrid w:val="0"/>
        <w:spacing w:line="600" w:lineRule="exact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首次成为中铁协注册认证赛事，初始级别为</w:t>
      </w:r>
      <w:r>
        <w:rPr>
          <w:rFonts w:ascii="仿宋" w:eastAsia="仿宋" w:hAnsi="仿宋" w:cs="仿宋" w:hint="eastAsia"/>
          <w:sz w:val="28"/>
          <w:szCs w:val="28"/>
        </w:rPr>
        <w:t>C</w:t>
      </w:r>
      <w:r>
        <w:rPr>
          <w:rFonts w:ascii="仿宋" w:eastAsia="仿宋" w:hAnsi="仿宋" w:cs="仿宋" w:hint="eastAsia"/>
          <w:sz w:val="28"/>
          <w:szCs w:val="28"/>
        </w:rPr>
        <w:t>级。</w:t>
      </w:r>
      <w:r>
        <w:rPr>
          <w:rFonts w:ascii="仿宋" w:eastAsia="仿宋" w:hAnsi="仿宋" w:cs="仿宋" w:hint="eastAsia"/>
          <w:sz w:val="28"/>
          <w:szCs w:val="28"/>
        </w:rPr>
        <w:t>C</w:t>
      </w:r>
      <w:r>
        <w:rPr>
          <w:rFonts w:ascii="仿宋" w:eastAsia="仿宋" w:hAnsi="仿宋" w:cs="仿宋" w:hint="eastAsia"/>
          <w:sz w:val="28"/>
          <w:szCs w:val="28"/>
        </w:rPr>
        <w:t>级赛事下一年度可逐级申报</w:t>
      </w:r>
      <w:r>
        <w:rPr>
          <w:rFonts w:ascii="仿宋" w:eastAsia="仿宋" w:hAnsi="仿宋" w:cs="仿宋" w:hint="eastAsia"/>
          <w:sz w:val="28"/>
          <w:szCs w:val="28"/>
        </w:rPr>
        <w:t>B</w:t>
      </w:r>
      <w:r>
        <w:rPr>
          <w:rFonts w:ascii="仿宋" w:eastAsia="仿宋" w:hAnsi="仿宋" w:cs="仿宋" w:hint="eastAsia"/>
          <w:sz w:val="28"/>
          <w:szCs w:val="28"/>
        </w:rPr>
        <w:t>级赛事，</w:t>
      </w:r>
      <w:r>
        <w:rPr>
          <w:rFonts w:ascii="仿宋" w:eastAsia="仿宋" w:hAnsi="仿宋" w:cs="仿宋" w:hint="eastAsia"/>
          <w:sz w:val="28"/>
          <w:szCs w:val="28"/>
        </w:rPr>
        <w:t>B</w:t>
      </w:r>
      <w:r>
        <w:rPr>
          <w:rFonts w:ascii="仿宋" w:eastAsia="仿宋" w:hAnsi="仿宋" w:cs="仿宋" w:hint="eastAsia"/>
          <w:sz w:val="28"/>
          <w:szCs w:val="28"/>
        </w:rPr>
        <w:t>级赛事下一年度可逐级申报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级赛事。不可越级申报。</w:t>
      </w:r>
    </w:p>
    <w:p w:rsidR="00B74E1C" w:rsidRDefault="00901265">
      <w:pPr>
        <w:tabs>
          <w:tab w:val="left" w:pos="0"/>
        </w:tabs>
        <w:overflowPunct w:val="0"/>
        <w:adjustRightInd w:val="0"/>
        <w:snapToGrid w:val="0"/>
        <w:spacing w:line="60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等级评定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办法</w:t>
      </w:r>
    </w:p>
    <w:p w:rsidR="00B74E1C" w:rsidRDefault="00901265">
      <w:pPr>
        <w:tabs>
          <w:tab w:val="left" w:pos="0"/>
        </w:tabs>
        <w:overflowPunct w:val="0"/>
        <w:adjustRightInd w:val="0"/>
        <w:snapToGrid w:val="0"/>
        <w:spacing w:line="6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一）</w:t>
      </w:r>
      <w:r>
        <w:rPr>
          <w:rFonts w:ascii="仿宋" w:eastAsia="仿宋" w:hAnsi="仿宋" w:cs="仿宋" w:hint="eastAsia"/>
          <w:sz w:val="28"/>
          <w:szCs w:val="28"/>
        </w:rPr>
        <w:t>中铁协根据</w:t>
      </w:r>
      <w:r>
        <w:rPr>
          <w:rFonts w:ascii="仿宋" w:eastAsia="仿宋" w:hAnsi="仿宋" w:cs="仿宋" w:hint="eastAsia"/>
          <w:sz w:val="28"/>
          <w:szCs w:val="28"/>
        </w:rPr>
        <w:t>赛事总评分</w:t>
      </w:r>
      <w:r>
        <w:rPr>
          <w:rFonts w:ascii="仿宋" w:eastAsia="仿宋" w:hAnsi="仿宋" w:cs="仿宋" w:hint="eastAsia"/>
          <w:sz w:val="28"/>
          <w:szCs w:val="28"/>
        </w:rPr>
        <w:t>评定下一年度相关注册认证赛事级别。</w:t>
      </w:r>
    </w:p>
    <w:p w:rsidR="00B74E1C" w:rsidRDefault="00901265">
      <w:pPr>
        <w:tabs>
          <w:tab w:val="left" w:pos="0"/>
        </w:tabs>
        <w:overflowPunct w:val="0"/>
        <w:adjustRightInd w:val="0"/>
        <w:snapToGrid w:val="0"/>
        <w:spacing w:line="6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（二）赛事总评分（满分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分）包含：</w:t>
      </w:r>
      <w:r>
        <w:rPr>
          <w:rFonts w:ascii="仿宋" w:eastAsia="仿宋" w:hAnsi="仿宋" w:cs="仿宋" w:hint="eastAsia"/>
          <w:sz w:val="28"/>
          <w:szCs w:val="28"/>
        </w:rPr>
        <w:t>比赛监督对于</w:t>
      </w:r>
      <w:bookmarkStart w:id="0" w:name="OLE_LINK1"/>
      <w:r>
        <w:rPr>
          <w:rFonts w:ascii="仿宋" w:eastAsia="仿宋" w:hAnsi="仿宋" w:cs="仿宋" w:hint="eastAsia"/>
          <w:sz w:val="28"/>
          <w:szCs w:val="28"/>
        </w:rPr>
        <w:t>赛事的评分</w:t>
      </w:r>
      <w:bookmarkEnd w:id="0"/>
      <w:r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技术指导对于赛事的评分；</w:t>
      </w:r>
      <w:r>
        <w:rPr>
          <w:rFonts w:ascii="仿宋" w:eastAsia="仿宋" w:hAnsi="仿宋" w:cs="仿宋" w:hint="eastAsia"/>
          <w:sz w:val="28"/>
          <w:szCs w:val="28"/>
        </w:rPr>
        <w:t>参赛</w:t>
      </w:r>
      <w:r>
        <w:rPr>
          <w:rFonts w:ascii="仿宋" w:eastAsia="仿宋" w:hAnsi="仿宋" w:cs="仿宋" w:hint="eastAsia"/>
          <w:sz w:val="28"/>
          <w:szCs w:val="28"/>
        </w:rPr>
        <w:t>运动员对于赛事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评分。</w:t>
      </w:r>
    </w:p>
    <w:p w:rsidR="00B74E1C" w:rsidRDefault="00901265">
      <w:pPr>
        <w:tabs>
          <w:tab w:val="left" w:pos="0"/>
        </w:tabs>
        <w:overflowPunct w:val="0"/>
        <w:adjustRightInd w:val="0"/>
        <w:snapToGrid w:val="0"/>
        <w:spacing w:line="6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</w:t>
      </w:r>
      <w:r>
        <w:rPr>
          <w:rFonts w:ascii="仿宋" w:eastAsia="仿宋" w:hAnsi="仿宋" w:cs="仿宋" w:hint="eastAsia"/>
          <w:sz w:val="28"/>
          <w:szCs w:val="28"/>
        </w:rPr>
        <w:t>比赛监督对于赛事的评分</w:t>
      </w:r>
      <w:r>
        <w:rPr>
          <w:rFonts w:ascii="仿宋" w:eastAsia="仿宋" w:hAnsi="仿宋" w:cs="仿宋" w:hint="eastAsia"/>
          <w:sz w:val="28"/>
          <w:szCs w:val="28"/>
        </w:rPr>
        <w:t>占比</w:t>
      </w:r>
      <w:r>
        <w:rPr>
          <w:rFonts w:ascii="仿宋" w:eastAsia="仿宋" w:hAnsi="仿宋" w:cs="仿宋" w:hint="eastAsia"/>
          <w:sz w:val="28"/>
          <w:szCs w:val="28"/>
        </w:rPr>
        <w:t>30%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技术指导对于赛事的评分占比</w:t>
      </w:r>
      <w:r>
        <w:rPr>
          <w:rFonts w:ascii="仿宋" w:eastAsia="仿宋" w:hAnsi="仿宋" w:cs="仿宋" w:hint="eastAsia"/>
          <w:sz w:val="28"/>
          <w:szCs w:val="28"/>
        </w:rPr>
        <w:t>30%</w:t>
      </w:r>
      <w:r>
        <w:rPr>
          <w:rFonts w:ascii="仿宋" w:eastAsia="仿宋" w:hAnsi="仿宋" w:cs="仿宋" w:hint="eastAsia"/>
          <w:sz w:val="28"/>
          <w:szCs w:val="28"/>
        </w:rPr>
        <w:t>，参赛运动员对于赛事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评分（平均得分）占比</w:t>
      </w:r>
      <w:r>
        <w:rPr>
          <w:rFonts w:ascii="仿宋" w:eastAsia="仿宋" w:hAnsi="仿宋" w:cs="仿宋" w:hint="eastAsia"/>
          <w:sz w:val="28"/>
          <w:szCs w:val="28"/>
        </w:rPr>
        <w:t>40%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74E1C" w:rsidRDefault="00901265">
      <w:pPr>
        <w:tabs>
          <w:tab w:val="left" w:pos="0"/>
        </w:tabs>
        <w:overflowPunct w:val="0"/>
        <w:adjustRightInd w:val="0"/>
        <w:snapToGrid w:val="0"/>
        <w:spacing w:line="6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（四）参赛运动员对于赛事的评分需具有广泛代表性，参与评分的主体为参赛运动员，参与评分的参赛运动员人数不少于实际参赛人数的</w:t>
      </w:r>
      <w:r>
        <w:rPr>
          <w:rFonts w:ascii="仿宋" w:eastAsia="仿宋" w:hAnsi="仿宋" w:cs="仿宋" w:hint="eastAsia"/>
          <w:sz w:val="28"/>
          <w:szCs w:val="28"/>
        </w:rPr>
        <w:t>3%</w:t>
      </w:r>
      <w:r>
        <w:rPr>
          <w:rFonts w:ascii="仿宋" w:eastAsia="仿宋" w:hAnsi="仿宋" w:cs="仿宋" w:hint="eastAsia"/>
          <w:sz w:val="28"/>
          <w:szCs w:val="28"/>
        </w:rPr>
        <w:t>，男女性别比例为不高于</w:t>
      </w:r>
      <w:r>
        <w:rPr>
          <w:rFonts w:ascii="仿宋" w:eastAsia="仿宋" w:hAnsi="仿宋" w:cs="仿宋" w:hint="eastAsia"/>
          <w:sz w:val="28"/>
          <w:szCs w:val="28"/>
        </w:rPr>
        <w:t>5:1</w:t>
      </w:r>
      <w:r>
        <w:rPr>
          <w:rFonts w:ascii="仿宋" w:eastAsia="仿宋" w:hAnsi="仿宋" w:cs="仿宋" w:hint="eastAsia"/>
          <w:sz w:val="28"/>
          <w:szCs w:val="28"/>
        </w:rPr>
        <w:t>，外地参赛运动员和本地参赛运动员比例不低于</w:t>
      </w:r>
      <w:r>
        <w:rPr>
          <w:rFonts w:ascii="仿宋" w:eastAsia="仿宋" w:hAnsi="仿宋" w:cs="仿宋" w:hint="eastAsia"/>
          <w:sz w:val="28"/>
          <w:szCs w:val="28"/>
        </w:rPr>
        <w:t>3:1</w:t>
      </w:r>
      <w:r>
        <w:rPr>
          <w:rFonts w:ascii="仿宋" w:eastAsia="仿宋" w:hAnsi="仿宋" w:cs="仿宋" w:hint="eastAsia"/>
          <w:sz w:val="28"/>
          <w:szCs w:val="28"/>
        </w:rPr>
        <w:t>。具体由比赛监督根据实际情况选取参与评分的主体。</w:t>
      </w:r>
    </w:p>
    <w:p w:rsidR="00B74E1C" w:rsidRDefault="00901265">
      <w:pPr>
        <w:tabs>
          <w:tab w:val="left" w:pos="0"/>
        </w:tabs>
        <w:overflowPunct w:val="0"/>
        <w:adjustRightInd w:val="0"/>
        <w:snapToGrid w:val="0"/>
        <w:spacing w:line="6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五</w:t>
      </w:r>
      <w:r>
        <w:rPr>
          <w:rFonts w:ascii="仿宋" w:eastAsia="仿宋" w:hAnsi="仿宋" w:cs="仿宋" w:hint="eastAsia"/>
          <w:sz w:val="28"/>
          <w:szCs w:val="28"/>
        </w:rPr>
        <w:t>）赛事</w:t>
      </w:r>
      <w:r>
        <w:rPr>
          <w:rFonts w:ascii="仿宋" w:eastAsia="仿宋" w:hAnsi="仿宋" w:cs="仿宋" w:hint="eastAsia"/>
          <w:sz w:val="28"/>
          <w:szCs w:val="28"/>
        </w:rPr>
        <w:t>总</w:t>
      </w:r>
      <w:r>
        <w:rPr>
          <w:rFonts w:ascii="仿宋" w:eastAsia="仿宋" w:hAnsi="仿宋" w:cs="仿宋" w:hint="eastAsia"/>
          <w:sz w:val="28"/>
          <w:szCs w:val="28"/>
        </w:rPr>
        <w:t>评分为优秀档（</w:t>
      </w:r>
      <w:r>
        <w:rPr>
          <w:rFonts w:ascii="仿宋" w:eastAsia="仿宋" w:hAnsi="仿宋" w:cs="仿宋" w:hint="eastAsia"/>
          <w:sz w:val="28"/>
          <w:szCs w:val="28"/>
        </w:rPr>
        <w:t>80-100</w:t>
      </w:r>
      <w:r>
        <w:rPr>
          <w:rFonts w:ascii="仿宋" w:eastAsia="仿宋" w:hAnsi="仿宋" w:cs="仿宋" w:hint="eastAsia"/>
          <w:sz w:val="28"/>
          <w:szCs w:val="28"/>
        </w:rPr>
        <w:t>分），下一年度可申报高一级别赛事；</w:t>
      </w:r>
    </w:p>
    <w:p w:rsidR="00B74E1C" w:rsidRDefault="00901265">
      <w:pPr>
        <w:tabs>
          <w:tab w:val="left" w:pos="0"/>
        </w:tabs>
        <w:overflowPunct w:val="0"/>
        <w:adjustRightInd w:val="0"/>
        <w:snapToGrid w:val="0"/>
        <w:spacing w:line="6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cs="仿宋" w:hint="eastAsia"/>
          <w:sz w:val="28"/>
          <w:szCs w:val="28"/>
        </w:rPr>
        <w:t>六</w:t>
      </w:r>
      <w:r>
        <w:rPr>
          <w:rFonts w:ascii="仿宋" w:eastAsia="仿宋" w:hAnsi="仿宋" w:cs="仿宋" w:hint="eastAsia"/>
          <w:sz w:val="28"/>
          <w:szCs w:val="28"/>
        </w:rPr>
        <w:t>）赛事</w:t>
      </w:r>
      <w:r>
        <w:rPr>
          <w:rFonts w:ascii="仿宋" w:eastAsia="仿宋" w:hAnsi="仿宋" w:cs="仿宋" w:hint="eastAsia"/>
          <w:sz w:val="28"/>
          <w:szCs w:val="28"/>
        </w:rPr>
        <w:t>总</w:t>
      </w:r>
      <w:r>
        <w:rPr>
          <w:rFonts w:ascii="仿宋" w:eastAsia="仿宋" w:hAnsi="仿宋" w:cs="仿宋" w:hint="eastAsia"/>
          <w:sz w:val="28"/>
          <w:szCs w:val="28"/>
        </w:rPr>
        <w:t>评分为合格档（</w:t>
      </w:r>
      <w:r>
        <w:rPr>
          <w:rFonts w:ascii="仿宋" w:eastAsia="仿宋" w:hAnsi="仿宋" w:cs="仿宋" w:hint="eastAsia"/>
          <w:sz w:val="28"/>
          <w:szCs w:val="28"/>
        </w:rPr>
        <w:t>60-79</w:t>
      </w:r>
      <w:r>
        <w:rPr>
          <w:rFonts w:ascii="仿宋" w:eastAsia="仿宋" w:hAnsi="仿宋" w:cs="仿宋" w:hint="eastAsia"/>
          <w:sz w:val="28"/>
          <w:szCs w:val="28"/>
        </w:rPr>
        <w:t>分），下一年度只能申报原级别赛事；</w:t>
      </w:r>
    </w:p>
    <w:p w:rsidR="00B74E1C" w:rsidRDefault="00901265">
      <w:pPr>
        <w:tabs>
          <w:tab w:val="left" w:pos="0"/>
        </w:tabs>
        <w:overflowPunct w:val="0"/>
        <w:adjustRightInd w:val="0"/>
        <w:snapToGrid w:val="0"/>
        <w:spacing w:line="6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七</w:t>
      </w:r>
      <w:r>
        <w:rPr>
          <w:rFonts w:ascii="仿宋" w:eastAsia="仿宋" w:hAnsi="仿宋" w:cs="仿宋" w:hint="eastAsia"/>
          <w:sz w:val="28"/>
          <w:szCs w:val="28"/>
        </w:rPr>
        <w:t>）赛事</w:t>
      </w:r>
      <w:r>
        <w:rPr>
          <w:rFonts w:ascii="仿宋" w:eastAsia="仿宋" w:hAnsi="仿宋" w:cs="仿宋" w:hint="eastAsia"/>
          <w:sz w:val="28"/>
          <w:szCs w:val="28"/>
        </w:rPr>
        <w:t>总</w:t>
      </w:r>
      <w:r>
        <w:rPr>
          <w:rFonts w:ascii="仿宋" w:eastAsia="仿宋" w:hAnsi="仿宋" w:cs="仿宋" w:hint="eastAsia"/>
          <w:sz w:val="28"/>
          <w:szCs w:val="28"/>
        </w:rPr>
        <w:t>评分为不合格档（低于</w:t>
      </w:r>
      <w:r>
        <w:rPr>
          <w:rFonts w:ascii="仿宋" w:eastAsia="仿宋" w:hAnsi="仿宋" w:cs="仿宋" w:hint="eastAsia"/>
          <w:sz w:val="28"/>
          <w:szCs w:val="28"/>
        </w:rPr>
        <w:t>60</w:t>
      </w:r>
      <w:r>
        <w:rPr>
          <w:rFonts w:ascii="仿宋" w:eastAsia="仿宋" w:hAnsi="仿宋" w:cs="仿宋" w:hint="eastAsia"/>
          <w:sz w:val="28"/>
          <w:szCs w:val="28"/>
        </w:rPr>
        <w:t>分），取消下一年度注册认证资格。</w:t>
      </w:r>
    </w:p>
    <w:p w:rsidR="00B74E1C" w:rsidRDefault="00901265">
      <w:pPr>
        <w:numPr>
          <w:ilvl w:val="0"/>
          <w:numId w:val="1"/>
        </w:numPr>
        <w:tabs>
          <w:tab w:val="left" w:pos="0"/>
        </w:tabs>
        <w:overflowPunct w:val="0"/>
        <w:adjustRightInd w:val="0"/>
        <w:snapToGrid w:val="0"/>
        <w:spacing w:line="60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赛事评分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标准</w:t>
      </w:r>
    </w:p>
    <w:p w:rsidR="00B74E1C" w:rsidRDefault="00901265">
      <w:pPr>
        <w:tabs>
          <w:tab w:val="left" w:pos="0"/>
        </w:tabs>
        <w:overflowPunct w:val="0"/>
        <w:adjustRightInd w:val="0"/>
        <w:snapToGrid w:val="0"/>
        <w:spacing w:line="60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按照本办法附件</w:t>
      </w:r>
      <w:r>
        <w:rPr>
          <w:rFonts w:ascii="仿宋" w:eastAsia="仿宋" w:hAnsi="仿宋" w:cs="仿宋" w:hint="eastAsia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</w:rPr>
        <w:t>和附件</w:t>
      </w:r>
      <w:r>
        <w:rPr>
          <w:rFonts w:ascii="仿宋" w:eastAsia="仿宋" w:hAnsi="仿宋" w:cs="仿宋" w:hint="eastAsia"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Cs/>
          <w:sz w:val="28"/>
          <w:szCs w:val="28"/>
        </w:rPr>
        <w:t>执行。</w:t>
      </w:r>
    </w:p>
    <w:p w:rsidR="00B74E1C" w:rsidRDefault="00901265">
      <w:pPr>
        <w:spacing w:line="600" w:lineRule="exact"/>
        <w:ind w:firstLineChars="200" w:firstLine="562"/>
        <w:jc w:val="left"/>
        <w:rPr>
          <w:rFonts w:ascii="仿宋" w:eastAsia="仿宋" w:hAnsi="仿宋" w:cs="仿宋"/>
          <w:b/>
          <w:sz w:val="28"/>
        </w:rPr>
      </w:pPr>
      <w:r>
        <w:rPr>
          <w:rFonts w:ascii="仿宋" w:eastAsia="仿宋" w:hAnsi="仿宋" w:cs="仿宋" w:hint="eastAsia"/>
          <w:b/>
          <w:sz w:val="28"/>
        </w:rPr>
        <w:t>五、附则</w:t>
      </w:r>
    </w:p>
    <w:p w:rsidR="00B74E1C" w:rsidRDefault="00901265">
      <w:pPr>
        <w:spacing w:line="600" w:lineRule="exact"/>
        <w:ind w:firstLineChars="200" w:firstLine="560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（一）本办法与《中国铁人三项运动协会赛事管理办法》配套执行。</w:t>
      </w:r>
    </w:p>
    <w:p w:rsidR="00B74E1C" w:rsidRDefault="00901265">
      <w:pPr>
        <w:tabs>
          <w:tab w:val="left" w:pos="0"/>
        </w:tabs>
        <w:overflowPunct w:val="0"/>
        <w:adjustRightInd w:val="0"/>
        <w:snapToGrid w:val="0"/>
        <w:spacing w:line="600" w:lineRule="exact"/>
        <w:ind w:firstLineChars="200" w:firstLine="560"/>
        <w:jc w:val="lef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（二）本办法</w:t>
      </w:r>
      <w:r>
        <w:rPr>
          <w:rFonts w:ascii="仿宋" w:eastAsia="仿宋" w:hAnsi="仿宋" w:cs="仿宋" w:hint="eastAsia"/>
          <w:sz w:val="28"/>
          <w:szCs w:val="28"/>
        </w:rPr>
        <w:t>由</w:t>
      </w:r>
      <w:r w:rsidR="002E4A96">
        <w:rPr>
          <w:rFonts w:ascii="仿宋" w:eastAsia="仿宋" w:hAnsi="仿宋" w:cs="仿宋" w:hint="eastAsia"/>
          <w:sz w:val="28"/>
          <w:szCs w:val="28"/>
        </w:rPr>
        <w:t>中国铁人三项运动协会</w:t>
      </w:r>
      <w:r>
        <w:rPr>
          <w:rFonts w:ascii="仿宋" w:eastAsia="仿宋" w:hAnsi="仿宋" w:cs="仿宋" w:hint="eastAsia"/>
          <w:sz w:val="28"/>
          <w:szCs w:val="28"/>
        </w:rPr>
        <w:t>负责解释</w:t>
      </w:r>
      <w:r>
        <w:rPr>
          <w:rFonts w:ascii="仿宋" w:eastAsia="仿宋" w:hAnsi="仿宋" w:cs="仿宋" w:hint="eastAsia"/>
          <w:sz w:val="28"/>
        </w:rPr>
        <w:t>。</w:t>
      </w:r>
    </w:p>
    <w:p w:rsidR="00901265" w:rsidRDefault="00901265">
      <w:pPr>
        <w:tabs>
          <w:tab w:val="left" w:pos="0"/>
        </w:tabs>
        <w:overflowPunct w:val="0"/>
        <w:adjustRightInd w:val="0"/>
        <w:snapToGrid w:val="0"/>
        <w:spacing w:line="600" w:lineRule="exact"/>
        <w:ind w:firstLineChars="200" w:firstLine="560"/>
        <w:jc w:val="left"/>
        <w:rPr>
          <w:rFonts w:ascii="仿宋" w:eastAsia="仿宋" w:hAnsi="仿宋" w:cs="仿宋" w:hint="eastAsia"/>
          <w:sz w:val="28"/>
        </w:rPr>
      </w:pPr>
      <w:r>
        <w:rPr>
          <w:rFonts w:ascii="仿宋" w:eastAsia="仿宋" w:hAnsi="仿宋" w:cs="仿宋" w:hint="eastAsia"/>
          <w:sz w:val="28"/>
        </w:rPr>
        <w:t>（三）本办法自2</w:t>
      </w:r>
      <w:r>
        <w:rPr>
          <w:rFonts w:ascii="仿宋" w:eastAsia="仿宋" w:hAnsi="仿宋" w:cs="仿宋"/>
          <w:sz w:val="28"/>
        </w:rPr>
        <w:t>019</w:t>
      </w:r>
      <w:r>
        <w:rPr>
          <w:rFonts w:ascii="仿宋" w:eastAsia="仿宋" w:hAnsi="仿宋" w:cs="仿宋" w:hint="eastAsia"/>
          <w:sz w:val="28"/>
        </w:rPr>
        <w:t>年4月1日起实施。</w:t>
      </w:r>
      <w:bookmarkStart w:id="1" w:name="_GoBack"/>
      <w:bookmarkEnd w:id="1"/>
    </w:p>
    <w:p w:rsidR="00B74E1C" w:rsidRDefault="00B74E1C">
      <w:pPr>
        <w:tabs>
          <w:tab w:val="left" w:pos="0"/>
        </w:tabs>
        <w:overflowPunct w:val="0"/>
        <w:adjustRightInd w:val="0"/>
        <w:snapToGrid w:val="0"/>
        <w:spacing w:line="600" w:lineRule="exact"/>
        <w:jc w:val="left"/>
        <w:rPr>
          <w:rFonts w:ascii="仿宋" w:eastAsia="仿宋" w:hAnsi="仿宋" w:cs="仿宋"/>
          <w:sz w:val="28"/>
          <w:szCs w:val="28"/>
        </w:rPr>
        <w:sectPr w:rsidR="00B74E1C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B74E1C" w:rsidRDefault="00B74E1C">
      <w:pPr>
        <w:tabs>
          <w:tab w:val="left" w:pos="0"/>
        </w:tabs>
        <w:overflowPunct w:val="0"/>
        <w:adjustRightInd w:val="0"/>
        <w:snapToGrid w:val="0"/>
        <w:spacing w:line="20" w:lineRule="exact"/>
        <w:jc w:val="left"/>
        <w:rPr>
          <w:rFonts w:ascii="仿宋_GB2312" w:eastAsia="仿宋_GB2312" w:hAnsi="仿宋" w:cs="仿宋"/>
          <w:sz w:val="28"/>
          <w:szCs w:val="28"/>
        </w:rPr>
      </w:pPr>
    </w:p>
    <w:p w:rsidR="00B74E1C" w:rsidRDefault="00B74E1C">
      <w:pPr>
        <w:tabs>
          <w:tab w:val="left" w:pos="0"/>
        </w:tabs>
        <w:overflowPunct w:val="0"/>
        <w:adjustRightInd w:val="0"/>
        <w:snapToGrid w:val="0"/>
        <w:spacing w:line="20" w:lineRule="exact"/>
        <w:jc w:val="left"/>
        <w:rPr>
          <w:rFonts w:ascii="仿宋_GB2312" w:eastAsia="仿宋_GB2312" w:hAnsi="仿宋" w:cs="仿宋"/>
          <w:sz w:val="28"/>
          <w:szCs w:val="28"/>
        </w:rPr>
      </w:pPr>
    </w:p>
    <w:p w:rsidR="00B74E1C" w:rsidRDefault="00901265">
      <w:pPr>
        <w:tabs>
          <w:tab w:val="left" w:pos="0"/>
        </w:tabs>
        <w:overflowPunct w:val="0"/>
        <w:adjustRightInd w:val="0"/>
        <w:snapToGrid w:val="0"/>
        <w:spacing w:line="600" w:lineRule="exact"/>
        <w:jc w:val="left"/>
        <w:rPr>
          <w:rFonts w:ascii="等线 Light" w:eastAsia="等线 Light" w:hAnsi="等线 Light" w:cs="等线 Light"/>
          <w:szCs w:val="21"/>
        </w:rPr>
      </w:pPr>
      <w:r>
        <w:rPr>
          <w:rFonts w:ascii="等线 Light" w:eastAsia="等线 Light" w:hAnsi="等线 Light" w:cs="等线 Light" w:hint="eastAsia"/>
          <w:szCs w:val="21"/>
        </w:rPr>
        <w:t>附件</w:t>
      </w:r>
      <w:r>
        <w:rPr>
          <w:rFonts w:ascii="等线 Light" w:eastAsia="等线 Light" w:hAnsi="等线 Light" w:cs="等线 Light" w:hint="eastAsia"/>
          <w:szCs w:val="21"/>
        </w:rPr>
        <w:t>1</w:t>
      </w:r>
      <w:r>
        <w:rPr>
          <w:rFonts w:ascii="等线 Light" w:eastAsia="等线 Light" w:hAnsi="等线 Light" w:cs="等线 Light" w:hint="eastAsia"/>
          <w:szCs w:val="21"/>
        </w:rPr>
        <w:t>：</w:t>
      </w:r>
      <w:r>
        <w:rPr>
          <w:rFonts w:ascii="等线 Light" w:eastAsia="等线 Light" w:hAnsi="等线 Light" w:cs="等线 Light" w:hint="eastAsia"/>
          <w:szCs w:val="21"/>
        </w:rPr>
        <w:t>比赛监督、技术指导赛事评分表</w:t>
      </w:r>
      <w:r>
        <w:rPr>
          <w:rFonts w:ascii="等线 Light" w:eastAsia="等线 Light" w:hAnsi="等线 Light" w:cs="等线 Light" w:hint="eastAsia"/>
          <w:szCs w:val="21"/>
        </w:rPr>
        <w:t>（满分</w:t>
      </w:r>
      <w:r>
        <w:rPr>
          <w:rFonts w:ascii="等线 Light" w:eastAsia="等线 Light" w:hAnsi="等线 Light" w:cs="等线 Light" w:hint="eastAsia"/>
          <w:szCs w:val="21"/>
        </w:rPr>
        <w:t>100</w:t>
      </w:r>
      <w:r>
        <w:rPr>
          <w:rFonts w:ascii="等线 Light" w:eastAsia="等线 Light" w:hAnsi="等线 Light" w:cs="等线 Light" w:hint="eastAsia"/>
          <w:szCs w:val="21"/>
        </w:rPr>
        <w:t>分）</w:t>
      </w:r>
    </w:p>
    <w:tbl>
      <w:tblPr>
        <w:tblW w:w="146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4990"/>
        <w:gridCol w:w="580"/>
        <w:gridCol w:w="6970"/>
        <w:gridCol w:w="490"/>
      </w:tblGrid>
      <w:tr w:rsidR="00B74E1C">
        <w:trPr>
          <w:trHeight w:val="50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项目一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项目二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分值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评分标准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</w:tr>
      <w:tr w:rsidR="00B74E1C">
        <w:trPr>
          <w:trHeight w:val="9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赛事举办城市意见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赛事举办城市同意并支持举办赛事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属地政府各方资源（安保、交通、医疗、宣传、卫生等部门）保障赛事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0-3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赛时属地政府各项保障执行到位，满足赛事需求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0-4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52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赛事组织机构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组委会机构设置和工作分工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组委会机构设置健全、工作分工明确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各部门积极参与工作，运转良好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78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人员数量及培训情况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竞赛管理人员、裁判员和志愿者配备满足比赛需求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(0-1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赛前进行有效培训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3.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赛时根据分工各司其职，保障赛事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104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赛事组织操作水平</w:t>
            </w: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bookmarkStart w:id="2" w:name="OLE_LINK2"/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赛事组织操作水平</w:t>
            </w:r>
            <w:bookmarkEnd w:id="2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医疗救护工作水平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根据赛事实际情况制定医疗救护方案和突发事件应急预案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有与赛事规模相适应的救护车和医护人员配备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3.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后方医院和绿色通道建立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4.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赛时保障到位，处理突发事件有力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104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安保工作水平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根据赛事实际情况制定安保方案及突发事件应急预案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赛时警力分布合理，赛场秩序良好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3.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赛时安保与竞赛、媒体等部门配合良好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4.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赛时保障到位，处理突发事件有力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104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道路封闭工作水平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根据赛事实际情况制定道路封闭方案及突发事件应急预案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官方训练等活动时道路封闭满足需求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3.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赛时道路封闭情况满足比赛需求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4.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赛时保障到位，处理突发事件有力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104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竞赛组织工作水平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制定严谨细致的竞赛组织方案并依据方案开展工作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竞赛组织公平、公正，竞赛秩序良好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3.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组别设置合理，充分考虑性别和年龄跨度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4.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奖金、奖品设置合理，覆盖面广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78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运动员服务工作水平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通过适当的方式使参赛人员知晓赛事相关信息和潜在的风险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提供科学的参赛指引和风险防控措施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3.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运动员服务意识与水平（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52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宣传工作水平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通过电视、网络、文字媒体，微博、微信等新媒体途径宣传赛事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0-3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建立起完整的宣传管理体系和舆论引导体系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976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食品安全工作水平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根据赛事实际情况制定食品安全保障方案及突发事件应急预案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切实履行食品安全保障工作职责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确保食物卫生、新鲜、符合体育运动反兴奋剂规定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30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市场开发工作水平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形成了完整的市场开发体系，赛事开发良好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0-3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104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场地路线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水质、场地、路线条件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比赛游泳水域水质检测结果符合规则规定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赛道设计合理无交叉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0-3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3.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观众流线设计有利于观众进出场和观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4.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赛场、赛道标识清晰、各功能区设置合理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0-3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30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比赛距离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符合规则要求，各赛段误差在允许范围内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分或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30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保险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赛事组委会保险和运动员保险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符合《中国铁人三项运动协会比赛安全保障指导意见》中关于保险条款的要求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7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运动员规模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参赛运动员数量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1.200-400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人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2.400-800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人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3-4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3.800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人以上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7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观众规模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现场观众数量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无观众或极少（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千人以内）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观众数量一般（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千人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-1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万人）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3-4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3.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观众数量较多（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万人以上）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30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计时与成绩处理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计时设备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采用电子计时设备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52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计时点设置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现场计时点布置合理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至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计取分段成绩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52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现场成绩处理的及时性与准确性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现场成绩报表及时准确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至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赛后按中铁协注册认证赛事成绩格式要求及时提供比赛成绩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30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体育展示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景观布置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赛场景观元素设计美观，布置合理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0-3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30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氛围营造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现场音响、播报、颁奖及互动活动与赛事协调，烘托效果明显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30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其他配套活动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增添赛事亮点活动，例如展会、铁人三项知识讲座、参赛技能培训、亲子活动等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0-4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28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扣分因素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未在比赛结束一周内提交比赛成绩（成绩模板见附件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-10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</w:tr>
      <w:tr w:rsidR="00B74E1C">
        <w:trPr>
          <w:trHeight w:val="28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赛事组织工作混乱，存在严重安全隐患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-10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</w:tr>
      <w:tr w:rsidR="00B74E1C">
        <w:trPr>
          <w:trHeight w:val="28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竞赛组织或裁判工作存在不公平现象，引起较大争议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-10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</w:tr>
      <w:tr w:rsidR="00B74E1C">
        <w:trPr>
          <w:trHeight w:val="280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取消赛事注册认证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并视情况给予追加处罚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注册认证申请工作存在弄虚作假行为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  <w:tc>
          <w:tcPr>
            <w:tcW w:w="6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</w:tr>
      <w:tr w:rsidR="00B74E1C">
        <w:trPr>
          <w:trHeight w:val="28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违反技术指导服务合作协议条款并导致严重后果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  <w:tc>
          <w:tcPr>
            <w:tcW w:w="6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</w:tr>
      <w:tr w:rsidR="00B74E1C">
        <w:trPr>
          <w:trHeight w:val="28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赛事评分低于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  <w:tc>
          <w:tcPr>
            <w:tcW w:w="6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</w:tr>
      <w:tr w:rsidR="00B74E1C">
        <w:trPr>
          <w:trHeight w:val="28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因赛事食品安全工作不力导致兴奋剂违规事件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  <w:tc>
          <w:tcPr>
            <w:tcW w:w="6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</w:tr>
      <w:tr w:rsidR="00B74E1C">
        <w:trPr>
          <w:trHeight w:val="28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因赛事安全保障工作不力导致重大人身伤亡事件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  <w:tc>
          <w:tcPr>
            <w:tcW w:w="6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</w:tr>
      <w:tr w:rsidR="00B74E1C">
        <w:trPr>
          <w:trHeight w:val="280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因赛事组织与宣传工作不力导致重大舆情并造成严重负面影响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  <w:tc>
          <w:tcPr>
            <w:tcW w:w="6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jc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</w:p>
        </w:tc>
      </w:tr>
    </w:tbl>
    <w:p w:rsidR="00B74E1C" w:rsidRDefault="00B74E1C">
      <w:pPr>
        <w:jc w:val="left"/>
        <w:rPr>
          <w:rFonts w:ascii="仿宋" w:eastAsia="仿宋" w:hAnsi="仿宋" w:cs="仿宋"/>
          <w:b/>
          <w:bCs/>
          <w:color w:val="000000"/>
          <w:sz w:val="24"/>
        </w:rPr>
      </w:pPr>
    </w:p>
    <w:p w:rsidR="00B74E1C" w:rsidRDefault="00901265">
      <w:pPr>
        <w:jc w:val="left"/>
        <w:rPr>
          <w:rFonts w:ascii="仿宋" w:eastAsia="仿宋" w:hAnsi="仿宋" w:cs="仿宋"/>
          <w:b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说明：评分标准包含客观事实类和水平评价类两类指标，客观事实类根据评分标准有则满分，无则</w:t>
      </w:r>
      <w:r>
        <w:rPr>
          <w:rFonts w:ascii="仿宋" w:eastAsia="仿宋" w:hAnsi="仿宋" w:cs="仿宋" w:hint="eastAsia"/>
          <w:b/>
          <w:bCs/>
          <w:color w:val="000000"/>
          <w:sz w:val="24"/>
        </w:rPr>
        <w:t>0</w:t>
      </w:r>
      <w:r>
        <w:rPr>
          <w:rFonts w:ascii="仿宋" w:eastAsia="仿宋" w:hAnsi="仿宋" w:cs="仿宋" w:hint="eastAsia"/>
          <w:b/>
          <w:bCs/>
          <w:color w:val="000000"/>
          <w:sz w:val="24"/>
        </w:rPr>
        <w:t>分；水平评价类根据实际情况进行评分，有效最小分值为</w:t>
      </w:r>
      <w:r>
        <w:rPr>
          <w:rFonts w:ascii="仿宋" w:eastAsia="仿宋" w:hAnsi="仿宋" w:cs="仿宋" w:hint="eastAsia"/>
          <w:b/>
          <w:bCs/>
          <w:color w:val="000000"/>
          <w:sz w:val="24"/>
        </w:rPr>
        <w:t>0.5</w:t>
      </w:r>
      <w:r>
        <w:rPr>
          <w:rFonts w:ascii="仿宋" w:eastAsia="仿宋" w:hAnsi="仿宋" w:cs="仿宋" w:hint="eastAsia"/>
          <w:b/>
          <w:bCs/>
          <w:color w:val="000000"/>
          <w:sz w:val="24"/>
        </w:rPr>
        <w:t>分及整数倍数。</w:t>
      </w:r>
    </w:p>
    <w:p w:rsidR="00B74E1C" w:rsidRDefault="00B74E1C">
      <w:pPr>
        <w:jc w:val="left"/>
        <w:rPr>
          <w:rFonts w:ascii="仿宋" w:eastAsia="仿宋" w:hAnsi="仿宋" w:cs="仿宋"/>
          <w:b/>
          <w:bCs/>
          <w:color w:val="000000"/>
          <w:sz w:val="24"/>
        </w:rPr>
      </w:pPr>
    </w:p>
    <w:p w:rsidR="00B74E1C" w:rsidRDefault="00B74E1C">
      <w:pPr>
        <w:jc w:val="left"/>
        <w:rPr>
          <w:rFonts w:ascii="仿宋" w:eastAsia="仿宋" w:hAnsi="仿宋" w:cs="仿宋"/>
          <w:b/>
          <w:bCs/>
          <w:color w:val="000000"/>
          <w:sz w:val="24"/>
        </w:rPr>
      </w:pPr>
    </w:p>
    <w:p w:rsidR="00B74E1C" w:rsidRDefault="00901265">
      <w:pPr>
        <w:jc w:val="left"/>
        <w:rPr>
          <w:rFonts w:ascii="等线 Light" w:eastAsia="等线 Light" w:hAnsi="等线 Light" w:cs="等线 Light"/>
          <w:color w:val="000000"/>
          <w:szCs w:val="21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比赛监督或技术指导签字：</w:t>
      </w:r>
    </w:p>
    <w:p w:rsidR="00B74E1C" w:rsidRDefault="00B74E1C">
      <w:pPr>
        <w:jc w:val="left"/>
        <w:rPr>
          <w:rFonts w:ascii="等线 Light" w:eastAsia="等线 Light" w:hAnsi="等线 Light" w:cs="等线 Light"/>
          <w:color w:val="000000"/>
          <w:szCs w:val="21"/>
        </w:rPr>
      </w:pPr>
    </w:p>
    <w:p w:rsidR="00B74E1C" w:rsidRDefault="00B74E1C">
      <w:pPr>
        <w:jc w:val="left"/>
        <w:rPr>
          <w:rFonts w:ascii="等线 Light" w:eastAsia="等线 Light" w:hAnsi="等线 Light" w:cs="等线 Light"/>
          <w:color w:val="000000"/>
          <w:szCs w:val="21"/>
        </w:rPr>
      </w:pPr>
    </w:p>
    <w:p w:rsidR="00B74E1C" w:rsidRDefault="00901265">
      <w:pPr>
        <w:jc w:val="left"/>
        <w:rPr>
          <w:rFonts w:ascii="等线 Light" w:eastAsia="等线 Light" w:hAnsi="等线 Light" w:cs="等线 Light"/>
          <w:color w:val="000000"/>
          <w:szCs w:val="21"/>
        </w:rPr>
      </w:pPr>
      <w:r>
        <w:rPr>
          <w:rFonts w:ascii="等线 Light" w:eastAsia="等线 Light" w:hAnsi="等线 Light" w:cs="等线 Light" w:hint="eastAsia"/>
          <w:color w:val="000000"/>
          <w:szCs w:val="21"/>
        </w:rPr>
        <w:t>附件</w:t>
      </w:r>
      <w:r>
        <w:rPr>
          <w:rFonts w:ascii="等线 Light" w:eastAsia="等线 Light" w:hAnsi="等线 Light" w:cs="等线 Light" w:hint="eastAsia"/>
          <w:color w:val="000000"/>
          <w:szCs w:val="21"/>
        </w:rPr>
        <w:t>2</w:t>
      </w:r>
      <w:r>
        <w:rPr>
          <w:rFonts w:ascii="等线 Light" w:eastAsia="等线 Light" w:hAnsi="等线 Light" w:cs="等线 Light" w:hint="eastAsia"/>
          <w:color w:val="000000"/>
          <w:szCs w:val="21"/>
        </w:rPr>
        <w:t>：比赛成绩模板</w:t>
      </w:r>
    </w:p>
    <w:tbl>
      <w:tblPr>
        <w:tblW w:w="146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947"/>
        <w:gridCol w:w="683"/>
        <w:gridCol w:w="1026"/>
        <w:gridCol w:w="991"/>
        <w:gridCol w:w="1089"/>
        <w:gridCol w:w="797"/>
        <w:gridCol w:w="1000"/>
        <w:gridCol w:w="1044"/>
        <w:gridCol w:w="947"/>
        <w:gridCol w:w="947"/>
        <w:gridCol w:w="948"/>
        <w:gridCol w:w="1244"/>
        <w:gridCol w:w="2088"/>
      </w:tblGrid>
      <w:tr w:rsidR="00B74E1C">
        <w:trPr>
          <w:trHeight w:val="360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比赛项目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组别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名次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比赛成绩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成绩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换项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成绩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换项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成绩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运动员姓名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有效证件号码</w:t>
            </w:r>
          </w:p>
        </w:tc>
      </w:tr>
      <w:tr w:rsidR="00B74E1C">
        <w:trPr>
          <w:trHeight w:val="360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男子全程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18-25</w:t>
            </w: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岁组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1:52:49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游泳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29:30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自行车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58:20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1:29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跑步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23:10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张三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320811199806212317</w:t>
            </w:r>
          </w:p>
        </w:tc>
      </w:tr>
      <w:tr w:rsidR="00B74E1C">
        <w:trPr>
          <w:trHeight w:val="360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360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360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B74E1C" w:rsidRDefault="00B74E1C">
      <w:pPr>
        <w:jc w:val="left"/>
        <w:rPr>
          <w:rFonts w:ascii="仿宋" w:eastAsia="仿宋" w:hAnsi="仿宋" w:cs="仿宋"/>
          <w:color w:val="000000"/>
          <w:sz w:val="28"/>
          <w:szCs w:val="28"/>
        </w:rPr>
      </w:pPr>
    </w:p>
    <w:p w:rsidR="00B74E1C" w:rsidRDefault="00B74E1C">
      <w:pPr>
        <w:jc w:val="left"/>
        <w:rPr>
          <w:rFonts w:ascii="仿宋" w:eastAsia="仿宋" w:hAnsi="仿宋" w:cs="仿宋"/>
          <w:color w:val="000000"/>
          <w:sz w:val="28"/>
          <w:szCs w:val="28"/>
        </w:rPr>
        <w:sectPr w:rsidR="00B74E1C">
          <w:pgSz w:w="16838" w:h="11906" w:orient="landscape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B74E1C" w:rsidRDefault="00901265">
      <w:pPr>
        <w:jc w:val="left"/>
        <w:rPr>
          <w:rFonts w:ascii="等线 Light" w:eastAsia="等线 Light" w:hAnsi="等线 Light" w:cs="等线 Light"/>
          <w:color w:val="000000"/>
          <w:szCs w:val="21"/>
        </w:rPr>
      </w:pPr>
      <w:r>
        <w:rPr>
          <w:rFonts w:ascii="等线 Light" w:eastAsia="等线 Light" w:hAnsi="等线 Light" w:cs="等线 Light" w:hint="eastAsia"/>
          <w:color w:val="000000"/>
          <w:szCs w:val="21"/>
        </w:rPr>
        <w:lastRenderedPageBreak/>
        <w:t>附件</w:t>
      </w:r>
      <w:r>
        <w:rPr>
          <w:rFonts w:ascii="等线 Light" w:eastAsia="等线 Light" w:hAnsi="等线 Light" w:cs="等线 Light" w:hint="eastAsia"/>
          <w:color w:val="000000"/>
          <w:szCs w:val="21"/>
        </w:rPr>
        <w:t>3</w:t>
      </w:r>
      <w:r>
        <w:rPr>
          <w:rFonts w:ascii="等线 Light" w:eastAsia="等线 Light" w:hAnsi="等线 Light" w:cs="等线 Light" w:hint="eastAsia"/>
          <w:color w:val="000000"/>
          <w:szCs w:val="21"/>
        </w:rPr>
        <w:t>：参赛运动员赛事评分表（满分</w:t>
      </w:r>
      <w:r>
        <w:rPr>
          <w:rFonts w:ascii="等线 Light" w:eastAsia="等线 Light" w:hAnsi="等线 Light" w:cs="等线 Light" w:hint="eastAsia"/>
          <w:color w:val="000000"/>
          <w:szCs w:val="21"/>
        </w:rPr>
        <w:t>100</w:t>
      </w:r>
      <w:r>
        <w:rPr>
          <w:rFonts w:ascii="等线 Light" w:eastAsia="等线 Light" w:hAnsi="等线 Light" w:cs="等线 Light" w:hint="eastAsia"/>
          <w:color w:val="000000"/>
          <w:szCs w:val="21"/>
        </w:rPr>
        <w:t>分）</w:t>
      </w:r>
    </w:p>
    <w:tbl>
      <w:tblPr>
        <w:tblW w:w="97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570"/>
        <w:gridCol w:w="6630"/>
        <w:gridCol w:w="1068"/>
      </w:tblGrid>
      <w:tr w:rsidR="00B74E1C">
        <w:trPr>
          <w:trHeight w:val="500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sz w:val="18"/>
                <w:szCs w:val="18"/>
              </w:rPr>
              <w:t>评价指标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分值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评分</w:t>
            </w: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标准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jc w:val="center"/>
              <w:textAlignment w:val="center"/>
              <w:rPr>
                <w:rFonts w:ascii="等线 Light" w:eastAsia="等线 Light" w:hAnsi="等线 Light" w:cs="等线 Light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 Light" w:eastAsia="等线 Light" w:hAnsi="等线 Light" w:cs="等线 Light" w:hint="eastAsia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</w:tr>
      <w:tr w:rsidR="00B74E1C">
        <w:trPr>
          <w:trHeight w:val="104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center"/>
              <w:textAlignment w:val="center"/>
              <w:rPr>
                <w:rFonts w:ascii="等线 Light" w:eastAsia="等线 Light" w:hAnsi="等线 Light" w:cs="等线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运动员服务水平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一档：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20-30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分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运动员服务意识和水平高，提供多元化、个性化服务内容，充分体现赛事人文关怀。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二档：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10-19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分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运动员服务意识和水平较高，基本满足运动员需求。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三档：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0-9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分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运动员服务意识和水平不高。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78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center"/>
              <w:textAlignment w:val="center"/>
              <w:rPr>
                <w:rFonts w:ascii="等线 Light" w:eastAsia="等线 Light" w:hAnsi="等线 Light" w:cs="等线 Light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 Light" w:eastAsia="等线 Light" w:hAnsi="等线 Light" w:cs="等线 Light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整体</w:t>
            </w:r>
            <w:r>
              <w:rPr>
                <w:rFonts w:ascii="等线 Light" w:eastAsia="等线 Light" w:hAnsi="等线 Light" w:cs="等线 Light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组织</w:t>
            </w:r>
            <w:r>
              <w:rPr>
                <w:rFonts w:ascii="等线 Light" w:eastAsia="等线 Light" w:hAnsi="等线 Light" w:cs="等线 Light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操作</w:t>
            </w:r>
            <w:r>
              <w:rPr>
                <w:rFonts w:ascii="等线 Light" w:eastAsia="等线 Light" w:hAnsi="等线 Light" w:cs="等线 Light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水平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一档：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20-30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分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医疗、安保、道路封闭、竞赛组织等各项工作安全有序进行，满足比赛需求。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二档：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10-19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分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医疗、安保、道路封闭、竞赛组织等各项工作基本满足比赛需求。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三档：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0-9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分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医疗、安保、道路封闭、竞赛组织等各项工作水平一般，有待提升。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78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center"/>
              <w:textAlignment w:val="center"/>
              <w:rPr>
                <w:rFonts w:ascii="等线 Light" w:eastAsia="等线 Light" w:hAnsi="等线 Light" w:cs="等线 Light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 Light" w:eastAsia="等线 Light" w:hAnsi="等线 Light" w:cs="等线 Light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场地路线条件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一档：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8-10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分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场地路线设计合理，充分考虑当地人文地理环境，赛场、赛道周边景色宜人。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二档：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6-7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分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场地路线设计基本满足比赛需求。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三档：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0-5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分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场地路线设计差强人意，有待提升。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78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center"/>
              <w:textAlignment w:val="center"/>
              <w:rPr>
                <w:rFonts w:ascii="等线 Light" w:eastAsia="等线 Light" w:hAnsi="等线 Light" w:cs="等线 Light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 Light" w:eastAsia="等线 Light" w:hAnsi="等线 Light" w:cs="等线 Light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食宿交通条件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一档：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8-10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分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交通食宿便利，交通食宿方式选择多样化。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二档：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6-7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分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交通食宿条件基本满足比赛需求。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三档：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0-5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分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交通食宿条件差强人意，有待提升。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78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center"/>
              <w:textAlignment w:val="center"/>
              <w:rPr>
                <w:rFonts w:ascii="等线 Light" w:eastAsia="等线 Light" w:hAnsi="等线 Light" w:cs="等线 Light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 Light" w:eastAsia="等线 Light" w:hAnsi="等线 Light" w:cs="等线 Light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赛事整体满意度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center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一档：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16-20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分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高度认可赛事整体组织工作，具有再次参赛意向。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二档：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10-15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分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基本认可赛事整体组织工作，认为赛事本身具有提升空间，会考虑再次参赛。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三档：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0-9</w:t>
            </w: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分</w:t>
            </w:r>
          </w:p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赛事整体组织工作具有巨大的提升空间，短期内不会考虑再次参赛。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4E1C">
        <w:trPr>
          <w:trHeight w:val="500"/>
          <w:jc w:val="center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901265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sz w:val="18"/>
                <w:szCs w:val="18"/>
              </w:rPr>
            </w:pPr>
            <w:r>
              <w:rPr>
                <w:rFonts w:ascii="等线 Light" w:eastAsia="等线 Light" w:hAnsi="等线 Light" w:cs="等线 Light" w:hint="eastAsia"/>
                <w:color w:val="000000"/>
                <w:sz w:val="18"/>
                <w:szCs w:val="18"/>
              </w:rPr>
              <w:t>汇总得分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74E1C" w:rsidRDefault="00B74E1C">
            <w:pPr>
              <w:widowControl/>
              <w:spacing w:line="280" w:lineRule="exact"/>
              <w:jc w:val="left"/>
              <w:textAlignment w:val="center"/>
              <w:rPr>
                <w:rFonts w:ascii="等线 Light" w:eastAsia="等线 Light" w:hAnsi="等线 Light" w:cs="等线 Light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B74E1C" w:rsidRDefault="00B74E1C">
      <w:pPr>
        <w:spacing w:line="280" w:lineRule="exact"/>
        <w:jc w:val="left"/>
        <w:rPr>
          <w:rFonts w:ascii="等线 Light" w:eastAsia="等线 Light" w:hAnsi="等线 Light" w:cs="等线 Light"/>
          <w:color w:val="000000"/>
          <w:sz w:val="18"/>
          <w:szCs w:val="18"/>
        </w:rPr>
      </w:pPr>
    </w:p>
    <w:p w:rsidR="00B74E1C" w:rsidRDefault="00901265">
      <w:pPr>
        <w:spacing w:line="280" w:lineRule="exact"/>
        <w:jc w:val="left"/>
        <w:rPr>
          <w:rFonts w:ascii="等线 Light" w:eastAsia="等线 Light" w:hAnsi="等线 Light" w:cs="等线 Light"/>
          <w:b/>
          <w:bCs/>
          <w:color w:val="000000"/>
          <w:sz w:val="24"/>
        </w:rPr>
      </w:pPr>
      <w:r>
        <w:rPr>
          <w:rFonts w:ascii="等线 Light" w:eastAsia="等线 Light" w:hAnsi="等线 Light" w:cs="等线 Light" w:hint="eastAsia"/>
          <w:b/>
          <w:bCs/>
          <w:color w:val="000000"/>
          <w:sz w:val="24"/>
        </w:rPr>
        <w:t>填表人（签字）：</w:t>
      </w:r>
      <w:r>
        <w:rPr>
          <w:rFonts w:ascii="等线 Light" w:eastAsia="等线 Light" w:hAnsi="等线 Light" w:cs="等线 Light" w:hint="eastAsia"/>
          <w:b/>
          <w:bCs/>
          <w:color w:val="000000"/>
          <w:sz w:val="24"/>
        </w:rPr>
        <w:t xml:space="preserve">                     </w:t>
      </w:r>
      <w:r>
        <w:rPr>
          <w:rFonts w:ascii="等线 Light" w:eastAsia="等线 Light" w:hAnsi="等线 Light" w:cs="等线 Light" w:hint="eastAsia"/>
          <w:b/>
          <w:bCs/>
          <w:color w:val="000000"/>
          <w:sz w:val="24"/>
        </w:rPr>
        <w:t>性别：</w:t>
      </w:r>
    </w:p>
    <w:p w:rsidR="00B74E1C" w:rsidRDefault="00901265">
      <w:pPr>
        <w:spacing w:line="280" w:lineRule="exact"/>
        <w:jc w:val="left"/>
        <w:rPr>
          <w:rFonts w:ascii="等线 Light" w:eastAsia="等线 Light" w:hAnsi="等线 Light" w:cs="等线 Light"/>
          <w:b/>
          <w:bCs/>
          <w:color w:val="000000"/>
          <w:sz w:val="24"/>
        </w:rPr>
      </w:pPr>
      <w:r>
        <w:rPr>
          <w:rFonts w:ascii="等线 Light" w:eastAsia="等线 Light" w:hAnsi="等线 Light" w:cs="等线 Light" w:hint="eastAsia"/>
          <w:b/>
          <w:bCs/>
          <w:color w:val="000000"/>
          <w:sz w:val="24"/>
        </w:rPr>
        <w:t>籍贯：</w:t>
      </w:r>
      <w:r>
        <w:rPr>
          <w:rFonts w:ascii="等线 Light" w:eastAsia="等线 Light" w:hAnsi="等线 Light" w:cs="等线 Light" w:hint="eastAsia"/>
          <w:b/>
          <w:bCs/>
          <w:color w:val="000000"/>
          <w:sz w:val="24"/>
        </w:rPr>
        <w:t xml:space="preserve">                               </w:t>
      </w:r>
      <w:r>
        <w:rPr>
          <w:rFonts w:ascii="等线 Light" w:eastAsia="等线 Light" w:hAnsi="等线 Light" w:cs="等线 Light" w:hint="eastAsia"/>
          <w:b/>
          <w:bCs/>
          <w:color w:val="000000"/>
          <w:sz w:val="24"/>
        </w:rPr>
        <w:t>代表单位：</w:t>
      </w:r>
    </w:p>
    <w:p w:rsidR="00B74E1C" w:rsidRDefault="00901265">
      <w:pPr>
        <w:spacing w:line="280" w:lineRule="exact"/>
        <w:jc w:val="left"/>
        <w:rPr>
          <w:rFonts w:ascii="等线 Light" w:eastAsia="等线 Light" w:hAnsi="等线 Light" w:cs="等线 Light"/>
          <w:b/>
          <w:bCs/>
          <w:color w:val="000000"/>
          <w:sz w:val="24"/>
        </w:rPr>
      </w:pPr>
      <w:r>
        <w:rPr>
          <w:rFonts w:ascii="等线 Light" w:eastAsia="等线 Light" w:hAnsi="等线 Light" w:cs="等线 Light" w:hint="eastAsia"/>
          <w:b/>
          <w:bCs/>
          <w:color w:val="000000"/>
          <w:sz w:val="24"/>
        </w:rPr>
        <w:t>手机：</w:t>
      </w:r>
      <w:r>
        <w:rPr>
          <w:rFonts w:ascii="等线 Light" w:eastAsia="等线 Light" w:hAnsi="等线 Light" w:cs="等线 Light" w:hint="eastAsia"/>
          <w:b/>
          <w:bCs/>
          <w:color w:val="000000"/>
          <w:sz w:val="24"/>
        </w:rPr>
        <w:t xml:space="preserve">                               </w:t>
      </w:r>
      <w:r>
        <w:rPr>
          <w:rFonts w:ascii="等线 Light" w:eastAsia="等线 Light" w:hAnsi="等线 Light" w:cs="等线 Light" w:hint="eastAsia"/>
          <w:b/>
          <w:bCs/>
          <w:color w:val="000000"/>
          <w:sz w:val="24"/>
        </w:rPr>
        <w:t>电子邮件：</w:t>
      </w:r>
    </w:p>
    <w:p w:rsidR="00B74E1C" w:rsidRDefault="00B74E1C">
      <w:pPr>
        <w:spacing w:line="280" w:lineRule="exact"/>
        <w:jc w:val="left"/>
        <w:rPr>
          <w:rFonts w:ascii="等线 Light" w:eastAsia="等线 Light" w:hAnsi="等线 Light" w:cs="等线 Light"/>
          <w:color w:val="000000"/>
          <w:sz w:val="18"/>
          <w:szCs w:val="18"/>
        </w:rPr>
      </w:pPr>
    </w:p>
    <w:p w:rsidR="00B74E1C" w:rsidRDefault="00B74E1C">
      <w:pPr>
        <w:spacing w:line="280" w:lineRule="exact"/>
        <w:jc w:val="left"/>
        <w:rPr>
          <w:rFonts w:ascii="等线 Light" w:eastAsia="等线 Light" w:hAnsi="等线 Light" w:cs="等线 Light"/>
          <w:color w:val="000000"/>
          <w:sz w:val="18"/>
          <w:szCs w:val="18"/>
        </w:rPr>
      </w:pPr>
    </w:p>
    <w:p w:rsidR="00B74E1C" w:rsidRDefault="00B74E1C">
      <w:pPr>
        <w:spacing w:line="280" w:lineRule="exact"/>
        <w:jc w:val="left"/>
        <w:rPr>
          <w:rFonts w:ascii="等线 Light" w:eastAsia="等线 Light" w:hAnsi="等线 Light" w:cs="等线 Light"/>
          <w:color w:val="000000"/>
          <w:sz w:val="18"/>
          <w:szCs w:val="18"/>
        </w:rPr>
      </w:pPr>
    </w:p>
    <w:p w:rsidR="00B74E1C" w:rsidRDefault="00B74E1C">
      <w:pPr>
        <w:spacing w:line="280" w:lineRule="exact"/>
        <w:jc w:val="left"/>
        <w:rPr>
          <w:rFonts w:ascii="等线 Light" w:eastAsia="等线 Light" w:hAnsi="等线 Light" w:cs="等线 Light"/>
          <w:color w:val="000000"/>
          <w:sz w:val="18"/>
          <w:szCs w:val="18"/>
        </w:rPr>
      </w:pPr>
    </w:p>
    <w:p w:rsidR="00B74E1C" w:rsidRDefault="00901265">
      <w:pPr>
        <w:spacing w:line="280" w:lineRule="exact"/>
        <w:jc w:val="left"/>
        <w:rPr>
          <w:rFonts w:ascii="等线 Light" w:eastAsia="等线 Light" w:hAnsi="等线 Light" w:cs="等线 Light"/>
          <w:color w:val="000000"/>
          <w:sz w:val="18"/>
          <w:szCs w:val="18"/>
        </w:rPr>
      </w:pPr>
      <w:r>
        <w:rPr>
          <w:rFonts w:ascii="等线 Light" w:eastAsia="等线 Light" w:hAnsi="等线 Light" w:cs="等线 Light" w:hint="eastAsia"/>
          <w:color w:val="000000"/>
          <w:sz w:val="18"/>
          <w:szCs w:val="18"/>
        </w:rPr>
        <w:t>注：此表由中铁协选派的比赛监督于比赛现场发放给本次参赛运动员，有效最小分值为</w:t>
      </w:r>
      <w:r>
        <w:rPr>
          <w:rFonts w:ascii="等线 Light" w:eastAsia="等线 Light" w:hAnsi="等线 Light" w:cs="等线 Light" w:hint="eastAsia"/>
          <w:color w:val="000000"/>
          <w:sz w:val="18"/>
          <w:szCs w:val="18"/>
        </w:rPr>
        <w:t>1</w:t>
      </w:r>
      <w:r>
        <w:rPr>
          <w:rFonts w:ascii="等线 Light" w:eastAsia="等线 Light" w:hAnsi="等线 Light" w:cs="等线 Light" w:hint="eastAsia"/>
          <w:color w:val="000000"/>
          <w:sz w:val="18"/>
          <w:szCs w:val="18"/>
        </w:rPr>
        <w:t>分及其整数倍数，请参赛运动员根据评价指标、评分标准客观、公正的进行评分。中铁协将根据您的反馈信息评定赛事级别。感谢您的支持与配合！</w:t>
      </w:r>
    </w:p>
    <w:p w:rsidR="00B74E1C" w:rsidRDefault="00B74E1C">
      <w:pPr>
        <w:spacing w:line="280" w:lineRule="exact"/>
        <w:jc w:val="left"/>
        <w:rPr>
          <w:rFonts w:ascii="等线 Light" w:eastAsia="等线 Light" w:hAnsi="等线 Light" w:cs="等线 Light"/>
          <w:color w:val="000000"/>
          <w:sz w:val="18"/>
          <w:szCs w:val="18"/>
        </w:rPr>
      </w:pPr>
    </w:p>
    <w:p w:rsidR="00B74E1C" w:rsidRDefault="00901265">
      <w:pPr>
        <w:spacing w:line="280" w:lineRule="exact"/>
        <w:jc w:val="left"/>
        <w:rPr>
          <w:rFonts w:ascii="等线 Light" w:eastAsia="等线 Light" w:hAnsi="等线 Light" w:cs="等线 Light"/>
          <w:color w:val="000000"/>
          <w:sz w:val="18"/>
          <w:szCs w:val="18"/>
        </w:rPr>
      </w:pPr>
      <w:r>
        <w:rPr>
          <w:rFonts w:ascii="等线 Light" w:eastAsia="等线 Light" w:hAnsi="等线 Light" w:cs="等线 Light" w:hint="eastAsia"/>
          <w:color w:val="000000"/>
          <w:sz w:val="18"/>
          <w:szCs w:val="18"/>
        </w:rPr>
        <w:t>比赛监督签字：</w:t>
      </w:r>
      <w:r>
        <w:rPr>
          <w:rFonts w:ascii="等线 Light" w:eastAsia="等线 Light" w:hAnsi="等线 Light" w:cs="等线 Light" w:hint="eastAsia"/>
          <w:color w:val="000000"/>
          <w:sz w:val="18"/>
          <w:szCs w:val="18"/>
        </w:rPr>
        <w:t xml:space="preserve">                         </w:t>
      </w:r>
    </w:p>
    <w:sectPr w:rsidR="00B74E1C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202DFB"/>
    <w:multiLevelType w:val="singleLevel"/>
    <w:tmpl w:val="F0202DF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6F29"/>
    <w:rsid w:val="000A547D"/>
    <w:rsid w:val="00172A27"/>
    <w:rsid w:val="001A2F5C"/>
    <w:rsid w:val="00234E83"/>
    <w:rsid w:val="002456A4"/>
    <w:rsid w:val="00255324"/>
    <w:rsid w:val="002814E0"/>
    <w:rsid w:val="002E4A96"/>
    <w:rsid w:val="00305EB2"/>
    <w:rsid w:val="003A692C"/>
    <w:rsid w:val="003D713F"/>
    <w:rsid w:val="004A4277"/>
    <w:rsid w:val="0054219B"/>
    <w:rsid w:val="00703D9C"/>
    <w:rsid w:val="0071065A"/>
    <w:rsid w:val="00725AD6"/>
    <w:rsid w:val="0075783D"/>
    <w:rsid w:val="00761A9E"/>
    <w:rsid w:val="0081692B"/>
    <w:rsid w:val="008240A8"/>
    <w:rsid w:val="00901265"/>
    <w:rsid w:val="00927250"/>
    <w:rsid w:val="0093702C"/>
    <w:rsid w:val="0099311E"/>
    <w:rsid w:val="009D69DC"/>
    <w:rsid w:val="00AA246F"/>
    <w:rsid w:val="00B00831"/>
    <w:rsid w:val="00B74E1C"/>
    <w:rsid w:val="00B84061"/>
    <w:rsid w:val="00BB28B0"/>
    <w:rsid w:val="00C90662"/>
    <w:rsid w:val="00CE0DC4"/>
    <w:rsid w:val="00D91694"/>
    <w:rsid w:val="00D96A0D"/>
    <w:rsid w:val="00E232CE"/>
    <w:rsid w:val="00E46105"/>
    <w:rsid w:val="00F01754"/>
    <w:rsid w:val="00F63D7E"/>
    <w:rsid w:val="00F909A4"/>
    <w:rsid w:val="01282CBE"/>
    <w:rsid w:val="02623C5A"/>
    <w:rsid w:val="03D26E12"/>
    <w:rsid w:val="051A06E4"/>
    <w:rsid w:val="060C141D"/>
    <w:rsid w:val="062A26C7"/>
    <w:rsid w:val="07AF6F04"/>
    <w:rsid w:val="08303516"/>
    <w:rsid w:val="08AF1AF2"/>
    <w:rsid w:val="08CE3B95"/>
    <w:rsid w:val="0BE55C9B"/>
    <w:rsid w:val="0CB17AD2"/>
    <w:rsid w:val="0F435FE7"/>
    <w:rsid w:val="10B25C08"/>
    <w:rsid w:val="120A5B2D"/>
    <w:rsid w:val="123D2247"/>
    <w:rsid w:val="16334673"/>
    <w:rsid w:val="19061277"/>
    <w:rsid w:val="1D8469B9"/>
    <w:rsid w:val="1E9351DB"/>
    <w:rsid w:val="258812EA"/>
    <w:rsid w:val="282211FE"/>
    <w:rsid w:val="2F276E7C"/>
    <w:rsid w:val="307B46C2"/>
    <w:rsid w:val="33AB76C4"/>
    <w:rsid w:val="3DB13C3D"/>
    <w:rsid w:val="401814C3"/>
    <w:rsid w:val="427B2F46"/>
    <w:rsid w:val="433B14DC"/>
    <w:rsid w:val="437B2302"/>
    <w:rsid w:val="475A37A9"/>
    <w:rsid w:val="48B2112D"/>
    <w:rsid w:val="4B26205B"/>
    <w:rsid w:val="4CF80C46"/>
    <w:rsid w:val="510D0FB8"/>
    <w:rsid w:val="532F6B09"/>
    <w:rsid w:val="550F6741"/>
    <w:rsid w:val="55FF4471"/>
    <w:rsid w:val="57E37013"/>
    <w:rsid w:val="596D5F12"/>
    <w:rsid w:val="5FFB56C1"/>
    <w:rsid w:val="6072762D"/>
    <w:rsid w:val="614E0FF0"/>
    <w:rsid w:val="622666D8"/>
    <w:rsid w:val="63794483"/>
    <w:rsid w:val="66690431"/>
    <w:rsid w:val="6D7C0C42"/>
    <w:rsid w:val="71300A6E"/>
    <w:rsid w:val="7375657B"/>
    <w:rsid w:val="7428626E"/>
    <w:rsid w:val="75AD1006"/>
    <w:rsid w:val="76DC26BC"/>
    <w:rsid w:val="778D718B"/>
    <w:rsid w:val="7CB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75693"/>
  <w15:docId w15:val="{503F35AE-E0D2-400B-BF23-1D5AE436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unhideWhenUsed/>
    <w:qFormat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赛事分级</dc:title>
  <dc:creator>lenovo</dc:creator>
  <cp:lastModifiedBy>Jianqiu Qin</cp:lastModifiedBy>
  <cp:revision>37</cp:revision>
  <dcterms:created xsi:type="dcterms:W3CDTF">2015-05-22T02:40:00Z</dcterms:created>
  <dcterms:modified xsi:type="dcterms:W3CDTF">2019-03-29T07:22:00Z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