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附件3：</w:t>
      </w:r>
    </w:p>
    <w:p>
      <w:pPr>
        <w:widowControl/>
        <w:snapToGrid w:val="0"/>
        <w:spacing w:line="400" w:lineRule="atLeast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中国铁人三项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运动协会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参赛运动员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体检指导意见</w:t>
      </w:r>
    </w:p>
    <w:p>
      <w:pPr>
        <w:widowControl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8"/>
        </w:rPr>
      </w:pPr>
    </w:p>
    <w:p>
      <w:pPr>
        <w:widowControl/>
        <w:snapToGrid w:val="0"/>
        <w:spacing w:line="480" w:lineRule="exact"/>
        <w:ind w:firstLine="480" w:firstLineChars="200"/>
        <w:jc w:val="left"/>
        <w:outlineLvl w:val="0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一、体检的必要性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636270</wp:posOffset>
                </wp:positionV>
                <wp:extent cx="5067935" cy="2187575"/>
                <wp:effectExtent l="0" t="0" r="0" b="0"/>
                <wp:wrapNone/>
                <wp:docPr id="5" name="任意多边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 bwMode="auto">
                        <a:xfrm>
                          <a:off x="0" y="0"/>
                          <a:ext cx="5067935" cy="2187575"/>
                        </a:xfrm>
                        <a:custGeom>
                          <a:avLst/>
                          <a:gdLst>
                            <a:gd name="T0" fmla="*/ 2147483647 w 14078"/>
                            <a:gd name="T1" fmla="*/ 2147483647 h 6077"/>
                            <a:gd name="T2" fmla="*/ 2147483647 w 14078"/>
                            <a:gd name="T3" fmla="*/ 2147483647 h 6077"/>
                            <a:gd name="T4" fmla="*/ 0 w 14078"/>
                            <a:gd name="T5" fmla="*/ 2147483647 h 6077"/>
                            <a:gd name="T6" fmla="*/ 0 w 14078"/>
                            <a:gd name="T7" fmla="*/ 2147483647 h 607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4078" h="6077">
                              <a:moveTo>
                                <a:pt x="14077" y="0"/>
                              </a:moveTo>
                              <a:lnTo>
                                <a:pt x="14077" y="0"/>
                              </a:lnTo>
                            </a:path>
                            <a:path w="14078" h="6077">
                              <a:moveTo>
                                <a:pt x="0" y="6076"/>
                              </a:moveTo>
                              <a:lnTo>
                                <a:pt x="0" y="607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rnd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3.1pt;margin-top:50.1pt;height:172.25pt;width:399.05pt;z-index:251661312;mso-width-relative:page;mso-height-relative:page;" fillcolor="#FFFFFF" filled="t" stroked="t" coordsize="14078,6077" o:gfxdata="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nWUa&#10;FdkAAAAKAQAADwAAAAAAAAABACAAAAAiAAAAZHJzL2Rvd25yZXYueG1sUEsBAhQAFAAAAAgAh07i&#10;QDiU28M+AwAARwgAAA4AAAAAAAAAAQAgAAAAKAEAAGRycy9lMm9Eb2MueG1sUEsFBgAAAAAGAAYA&#10;WQEAANgGAAAAAA==&#10;" path="m14077,0l14077,0em0,6076l0,6076e">
                <v:path o:connectlocs="@0,@0;@0,@0;0,@0;0,@0" o:connectangles="0,0,0,0"/>
                <v:fill on="t" focussize="0,0"/>
                <v:stroke color="#FF0000" joinstyle="round" endcap="round"/>
                <v:imagedata o:title=""/>
                <o:lock v:ext="edit" text="t" aspectratio="t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4"/>
        </w:rPr>
        <w:t>（一）铁人三项运动</w:t>
      </w:r>
      <w:r>
        <w:rPr>
          <w:rFonts w:hint="eastAsia" w:ascii="仿宋" w:hAnsi="仿宋" w:eastAsia="仿宋" w:cs="仿宋"/>
          <w:kern w:val="0"/>
          <w:sz w:val="24"/>
        </w:rPr>
        <w:t>具有赛程长、强度高、赛场环境不稳定等特点。对人体的刺激是剧烈和深重的，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会不可避免地发生各种急性伤病，以心血管、呼吸、中枢神经、胃肠道和运动（骨和肌肉等）系统的刺激或损害为主，重者可危及生命。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（二）由于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急性</w:t>
      </w:r>
      <w:r>
        <w:rPr>
          <w:rFonts w:hint="eastAsia" w:ascii="仿宋" w:hAnsi="仿宋" w:eastAsia="仿宋" w:cs="仿宋"/>
          <w:kern w:val="0"/>
          <w:sz w:val="24"/>
        </w:rPr>
        <w:t>伤病具有不可预测性，因此对运动员全面身体检查、循症系统监控、积极防治伤病、建立健康档案等模式是非常重要和必要的。良好的身体状况是从事铁人三项运动的基础，在伤病状况下进行铁人三项运动，会增加运动员的健康安全风险。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（三）为了</w:t>
      </w:r>
      <w:r>
        <w:rPr>
          <w:rFonts w:hint="eastAsia" w:ascii="仿宋" w:hAnsi="仿宋" w:eastAsia="仿宋" w:cs="仿宋"/>
          <w:kern w:val="0"/>
          <w:sz w:val="24"/>
        </w:rPr>
        <w:t>最大程度地保障参赛运动员的健康安全，确立“超前预防”思想，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特制定此体检指导意见。运动员未能按要求提供体检证明或检查结果不符合以下要求的，不得参赛。</w:t>
      </w:r>
    </w:p>
    <w:p>
      <w:pPr>
        <w:widowControl/>
        <w:snapToGrid w:val="0"/>
        <w:spacing w:line="480" w:lineRule="exact"/>
        <w:ind w:firstLine="480" w:firstLineChars="200"/>
        <w:jc w:val="left"/>
        <w:outlineLvl w:val="0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二、综合要求</w:t>
      </w:r>
    </w:p>
    <w:p>
      <w:pPr>
        <w:widowControl/>
        <w:snapToGrid w:val="0"/>
        <w:spacing w:line="480" w:lineRule="exact"/>
        <w:ind w:firstLine="482" w:firstLineChars="200"/>
        <w:jc w:val="left"/>
        <w:outlineLvl w:val="0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（一）赛前体检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运动员必须及时了解自身的健康和体能状况，并在赛前或最长不超过赛前六个月的时间，自行到“二级甲”或以上等级的医院进行体检。</w:t>
      </w:r>
    </w:p>
    <w:p>
      <w:pPr>
        <w:widowControl/>
        <w:snapToGrid w:val="0"/>
        <w:spacing w:line="480" w:lineRule="exact"/>
        <w:ind w:firstLine="482" w:firstLineChars="200"/>
        <w:jc w:val="left"/>
        <w:outlineLvl w:val="0"/>
        <w:rPr>
          <w:rFonts w:hint="eastAsia" w:ascii="仿宋" w:hAnsi="仿宋" w:eastAsia="仿宋" w:cs="仿宋"/>
          <w:b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</w:rPr>
        <w:t>（二）自我监控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赛前单次体检结果正常，仅仅表示选择的体检项目所反映的身体健康状况。由于体检方法及项目所限，并</w:t>
      </w:r>
      <w:r>
        <w:rPr>
          <w:rFonts w:hint="eastAsia" w:ascii="仿宋" w:hAnsi="仿宋" w:eastAsia="仿宋" w:cs="仿宋"/>
          <w:b/>
          <w:kern w:val="0"/>
          <w:sz w:val="24"/>
        </w:rPr>
        <w:t>不能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完全排除身体潜在的风险；由于</w:t>
      </w:r>
      <w:r>
        <w:rPr>
          <w:rFonts w:hint="eastAsia" w:ascii="仿宋" w:hAnsi="仿宋" w:eastAsia="仿宋" w:cs="仿宋"/>
          <w:kern w:val="0"/>
          <w:sz w:val="24"/>
        </w:rPr>
        <w:t>“人身体状况的可变性”，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更</w:t>
      </w:r>
      <w:r>
        <w:rPr>
          <w:rFonts w:hint="eastAsia" w:ascii="仿宋" w:hAnsi="仿宋" w:eastAsia="仿宋" w:cs="仿宋"/>
          <w:b/>
          <w:kern w:val="0"/>
          <w:sz w:val="24"/>
        </w:rPr>
        <w:t>不能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证明运动员完全有能力安全完成比赛。因此</w:t>
      </w:r>
      <w:r>
        <w:rPr>
          <w:rFonts w:hint="eastAsia" w:ascii="仿宋" w:hAnsi="仿宋" w:eastAsia="仿宋" w:cs="仿宋"/>
          <w:kern w:val="0"/>
          <w:sz w:val="24"/>
        </w:rPr>
        <w:t>每位参赛运动员必须做到：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1．赛前主动确保自身状况良好，没有感冒、发热、病毒性或细菌性扁桃体炎、其它急慢性伤病等。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2．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赛前或赛中</w:t>
      </w:r>
      <w:r>
        <w:rPr>
          <w:rFonts w:hint="eastAsia" w:ascii="仿宋" w:hAnsi="仿宋" w:eastAsia="仿宋" w:cs="仿宋"/>
          <w:kern w:val="0"/>
          <w:sz w:val="24"/>
        </w:rPr>
        <w:t>出现身体异常症状，应主动退出比赛，及时告知比赛组委会，尽快就医。</w:t>
      </w:r>
    </w:p>
    <w:p>
      <w:pPr>
        <w:widowControl/>
        <w:snapToGrid w:val="0"/>
        <w:spacing w:line="480" w:lineRule="exact"/>
        <w:ind w:firstLine="480" w:firstLineChars="200"/>
        <w:jc w:val="left"/>
        <w:outlineLvl w:val="0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三、体检项目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以下体检项目是根据铁人三项运动中的常见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急性伤病所设，其中第（一）至（三）项为必检项目，比赛组委会将在赛前对其进行审查。</w:t>
      </w:r>
    </w:p>
    <w:p>
      <w:pPr>
        <w:widowControl/>
        <w:numPr>
          <w:ilvl w:val="0"/>
          <w:numId w:val="1"/>
        </w:numPr>
        <w:snapToGrid w:val="0"/>
        <w:spacing w:line="480" w:lineRule="exact"/>
        <w:jc w:val="left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内外科一般检查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重点询问和甄别参赛运动员有无以下情况：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1．心血管系统疾病，如高血压、瓣膜病、冠心病、心肌病；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2．中枢神经系统疾病，如癫痫、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严重神经衰弱综合征</w:t>
      </w:r>
      <w:r>
        <w:rPr>
          <w:rFonts w:hint="eastAsia" w:ascii="仿宋" w:hAnsi="仿宋" w:eastAsia="仿宋" w:cs="仿宋"/>
          <w:kern w:val="0"/>
          <w:sz w:val="24"/>
        </w:rPr>
        <w:t>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3．猝死等家族史；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4．运动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性应激性或急性伤病的既往史；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5</w:t>
      </w:r>
      <w:r>
        <w:rPr>
          <w:rFonts w:hint="eastAsia" w:ascii="仿宋" w:hAnsi="仿宋" w:eastAsia="仿宋" w:cs="仿宋"/>
          <w:kern w:val="0"/>
          <w:sz w:val="24"/>
        </w:rPr>
        <w:t>．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呼吸系统疾病，如过敏性支气管哮喘、急或慢性呼吸道感染；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</w:rPr>
        <w:t>6</w:t>
      </w:r>
      <w:r>
        <w:rPr>
          <w:rFonts w:hint="eastAsia" w:ascii="仿宋" w:hAnsi="仿宋" w:eastAsia="仿宋" w:cs="仿宋"/>
          <w:kern w:val="0"/>
          <w:sz w:val="24"/>
        </w:rPr>
        <w:t>．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胃肠道疾病，如消化道溃疡活动期。</w:t>
      </w:r>
    </w:p>
    <w:p>
      <w:pPr>
        <w:widowControl/>
        <w:snapToGrid w:val="0"/>
        <w:spacing w:line="480" w:lineRule="exact"/>
        <w:ind w:firstLine="482" w:firstLineChars="200"/>
        <w:jc w:val="left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（二）血压检查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1．50岁以下的运动员：收缩压≤130mmHg（17.3KPa），舒张压≤85mmHg（11.3KPa）；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2．50岁以上（包括50岁）的运动员：收缩压≤140mmHg（18.6KPa），舒张压≤90mmHg（12KPa）。</w:t>
      </w:r>
    </w:p>
    <w:p>
      <w:pPr>
        <w:widowControl/>
        <w:snapToGrid w:val="0"/>
        <w:spacing w:line="480" w:lineRule="exact"/>
        <w:ind w:firstLine="482" w:firstLineChars="200"/>
        <w:jc w:val="left"/>
        <w:rPr>
          <w:rFonts w:hint="eastAsia" w:ascii="仿宋" w:hAnsi="仿宋" w:eastAsia="仿宋" w:cs="仿宋"/>
          <w:b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（三）心电图检查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心电图报告须附医师诊断意见，评估标准如下：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1．正常心电图（经医院确诊无明显异常）：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（1）窦性心律；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（2）成人心率40～100次/分（专业运动员心率可低于40次/分）。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2．不符合参赛条件的异常心电图包括但不限于：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（1）窦性心动过速，成人心率＞100次/分；室性心动过速；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（2）频发的窦性心律不齐；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（3）窦性停搏；房性、交界性、室性期前收缩或逸搏；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（4）病态窦房结综合症；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（5）Ⅱ度及以上的窦房、房室传导、左束支传导等阻滞；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（6）预激综合征；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（7）心肌缺血，ST段缺血型降低（包括水平型、下垂型、弓背型、下陷型、近似缺血型），T波改变（包括低平、双向、倒置），Q－T间期延长，U波倒置，心律失常等；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（8）其他心电图异常，如房颤。</w:t>
      </w:r>
    </w:p>
    <w:p>
      <w:pPr>
        <w:widowControl/>
        <w:snapToGrid w:val="0"/>
        <w:spacing w:line="480" w:lineRule="exact"/>
        <w:ind w:firstLine="482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（四）“血生化全项”（可酌情加做）</w:t>
      </w:r>
    </w:p>
    <w:p>
      <w:pPr>
        <w:widowControl/>
        <w:snapToGrid w:val="0"/>
        <w:spacing w:line="480" w:lineRule="exact"/>
        <w:ind w:firstLine="480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判断肝肾功能，血糖血脂、血清离子、心肌酶谱等的情况。</w:t>
      </w:r>
    </w:p>
    <w:p>
      <w:pPr>
        <w:widowControl/>
        <w:snapToGrid w:val="0"/>
        <w:spacing w:line="480" w:lineRule="exact"/>
        <w:ind w:firstLine="482" w:firstLineChars="20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b/>
          <w:kern w:val="0"/>
          <w:sz w:val="24"/>
        </w:rPr>
        <w:t>（五）“彩色超声心动图”（可酌情加做）</w:t>
      </w:r>
    </w:p>
    <w:p>
      <w:pPr>
        <w:widowControl/>
        <w:snapToGrid w:val="0"/>
        <w:spacing w:line="480" w:lineRule="exact"/>
        <w:ind w:firstLine="480" w:firstLineChars="200"/>
        <w:jc w:val="left"/>
      </w:pPr>
      <w:r>
        <w:rPr>
          <w:rFonts w:hint="eastAsia" w:ascii="仿宋" w:hAnsi="仿宋" w:eastAsia="仿宋" w:cs="仿宋"/>
          <w:kern w:val="0"/>
          <w:sz w:val="24"/>
        </w:rPr>
        <w:t>判断心室、心房、瓣膜、心肌及其运动（收缩能力和顺应性）、射血分数及心输出量等的情况，规避心脏结构紊乱。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B72CA"/>
    <w:multiLevelType w:val="multilevel"/>
    <w:tmpl w:val="63AB72CA"/>
    <w:lvl w:ilvl="0" w:tentative="0">
      <w:start w:val="1"/>
      <w:numFmt w:val="japaneseCounting"/>
      <w:lvlText w:val="（%1）"/>
      <w:lvlJc w:val="left"/>
      <w:pPr>
        <w:tabs>
          <w:tab w:val="left" w:pos="1417"/>
        </w:tabs>
        <w:ind w:left="1417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2"/>
        </w:tabs>
        <w:ind w:left="140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2"/>
        </w:tabs>
        <w:ind w:left="1822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2"/>
        </w:tabs>
        <w:ind w:left="224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2"/>
        </w:tabs>
        <w:ind w:left="266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2"/>
        </w:tabs>
        <w:ind w:left="3082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2"/>
        </w:tabs>
        <w:ind w:left="350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2"/>
        </w:tabs>
        <w:ind w:left="392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2"/>
        </w:tabs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huain</dc:creator>
  <cp:lastModifiedBy>huain</cp:lastModifiedBy>
  <dcterms:modified xsi:type="dcterms:W3CDTF">2018-12-28T04:41:48Z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