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附件2：</w:t>
      </w:r>
    </w:p>
    <w:p>
      <w:pPr>
        <w:widowControl/>
        <w:snapToGrid w:val="0"/>
        <w:spacing w:line="400" w:lineRule="atLeast"/>
        <w:jc w:val="center"/>
        <w:rPr>
          <w:rFonts w:ascii="华文中宋" w:hAnsi="华文中宋" w:eastAsia="华文中宋" w:cs="华文中宋"/>
          <w:color w:val="000000"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36"/>
          <w:szCs w:val="36"/>
        </w:rPr>
        <w:t>中国铁人三项运动协会</w:t>
      </w:r>
    </w:p>
    <w:p>
      <w:pPr>
        <w:widowControl/>
        <w:snapToGrid w:val="0"/>
        <w:spacing w:line="400" w:lineRule="atLeast"/>
        <w:jc w:val="center"/>
        <w:rPr>
          <w:rFonts w:ascii="华文中宋" w:hAnsi="华文中宋" w:eastAsia="华文中宋" w:cs="华文中宋"/>
          <w:color w:val="000000"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36"/>
          <w:szCs w:val="36"/>
        </w:rPr>
        <w:t>参赛运动员</w:t>
      </w:r>
      <w:bookmarkStart w:id="0" w:name="_GoBack"/>
      <w:r>
        <w:rPr>
          <w:rFonts w:hint="eastAsia" w:ascii="华文中宋" w:hAnsi="华文中宋" w:eastAsia="华文中宋" w:cs="华文中宋"/>
          <w:color w:val="000000"/>
          <w:kern w:val="0"/>
          <w:sz w:val="36"/>
          <w:szCs w:val="36"/>
        </w:rPr>
        <w:t>体检指导意见</w:t>
      </w:r>
      <w:bookmarkEnd w:id="0"/>
    </w:p>
    <w:p>
      <w:pPr>
        <w:widowControl/>
        <w:snapToGrid w:val="0"/>
        <w:spacing w:line="400" w:lineRule="atLeast"/>
        <w:jc w:val="left"/>
        <w:rPr>
          <w:rFonts w:ascii="宋体" w:hAnsi="宋体" w:cs="宋体"/>
          <w:color w:val="000000"/>
          <w:kern w:val="0"/>
          <w:sz w:val="24"/>
          <w:szCs w:val="28"/>
        </w:rPr>
      </w:pPr>
    </w:p>
    <w:p>
      <w:pPr>
        <w:widowControl/>
        <w:snapToGrid w:val="0"/>
        <w:spacing w:line="480" w:lineRule="exact"/>
        <w:ind w:firstLine="480" w:firstLineChars="200"/>
        <w:jc w:val="left"/>
        <w:outlineLvl w:val="0"/>
        <w:rPr>
          <w:rFonts w:ascii="仿宋" w:hAnsi="仿宋" w:eastAsia="仿宋" w:cs="仿宋"/>
          <w:color w:val="000000"/>
          <w:kern w:val="0"/>
          <w:sz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</w:rPr>
        <w:t>一、体检的必要性</w:t>
      </w:r>
    </w:p>
    <w:p>
      <w:pPr>
        <w:widowControl/>
        <w:snapToGrid w:val="0"/>
        <w:spacing w:line="480" w:lineRule="exact"/>
        <w:ind w:firstLine="480" w:firstLineChars="200"/>
        <w:jc w:val="left"/>
        <w:rPr>
          <w:rFonts w:ascii="仿宋" w:hAnsi="仿宋" w:eastAsia="仿宋" w:cs="仿宋"/>
          <w:color w:val="000000"/>
          <w:kern w:val="0"/>
          <w:sz w:val="24"/>
        </w:rPr>
      </w:pPr>
      <w:r>
        <w:rPr>
          <w:rFonts w:ascii="仿宋" w:hAnsi="仿宋" w:eastAsia="仿宋" w:cs="仿宋"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636270</wp:posOffset>
                </wp:positionV>
                <wp:extent cx="5067935" cy="2187575"/>
                <wp:effectExtent l="0" t="0" r="0" b="0"/>
                <wp:wrapNone/>
                <wp:docPr id="1" name="任意多边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TextEdit="1"/>
                      </wps:cNvSpPr>
                      <wps:spPr>
                        <a:xfrm>
                          <a:off x="0" y="0"/>
                          <a:ext cx="5067935" cy="2187575"/>
                        </a:xfrm>
                        <a:custGeom>
                          <a:avLst/>
                          <a:gdLst>
                            <a:gd name="G0" fmla="val 0"/>
                          </a:gdLst>
                          <a:ahLst/>
                          <a:cxnLst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0" y="G0"/>
                            </a:cxn>
                            <a:cxn ang="0">
                              <a:pos x="0" y="G0"/>
                            </a:cxn>
                          </a:cxnLst>
                          <a:pathLst>
                            <a:path w="14078" h="6077">
                              <a:moveTo>
                                <a:pt x="14077" y="0"/>
                              </a:moveTo>
                              <a:lnTo>
                                <a:pt x="14077" y="0"/>
                              </a:lnTo>
                            </a:path>
                            <a:path w="14078" h="6077">
                              <a:moveTo>
                                <a:pt x="0" y="6076"/>
                              </a:moveTo>
                              <a:lnTo>
                                <a:pt x="0" y="60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rnd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3.1pt;margin-top:50.1pt;height:172.25pt;width:399.05pt;z-index:1024;mso-width-relative:page;mso-height-relative:page;" stroked="t" coordsize="14078,6077" o:gfxdata="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" path="m14077,0l14077,0em0,6076l0,6076e">
                <v:path o:connecttype="segments" o:connectlocs="@0,@0;@0,@0;0,@0;0,@0" o:connectangles="0,0,0,0"/>
                <v:fill focussize="0,0"/>
                <v:stroke color="#FF0000" joinstyle="round" endcap="round"/>
                <v:imagedata o:title=""/>
                <o:lock v:ext="edit" text="t" aspectratio="t"/>
              </v:shape>
            </w:pict>
          </mc:Fallback>
        </mc:AlternateContent>
      </w:r>
      <w:r>
        <w:rPr>
          <w:rFonts w:hint="eastAsia" w:ascii="仿宋" w:hAnsi="仿宋" w:eastAsia="仿宋" w:cs="仿宋"/>
          <w:color w:val="000000"/>
          <w:kern w:val="0"/>
          <w:sz w:val="24"/>
        </w:rPr>
        <w:t>（一）铁人三项运动</w:t>
      </w:r>
      <w:r>
        <w:rPr>
          <w:rFonts w:hint="eastAsia" w:ascii="仿宋" w:hAnsi="仿宋" w:eastAsia="仿宋" w:cs="仿宋"/>
          <w:kern w:val="0"/>
          <w:sz w:val="24"/>
        </w:rPr>
        <w:t>具有赛程长、强度高、赛场环境不稳定等特点。对人体的刺激是剧烈和深重的，</w:t>
      </w:r>
      <w:r>
        <w:rPr>
          <w:rFonts w:hint="eastAsia" w:ascii="仿宋" w:hAnsi="仿宋" w:eastAsia="仿宋" w:cs="仿宋"/>
          <w:color w:val="000000"/>
          <w:kern w:val="0"/>
          <w:sz w:val="24"/>
        </w:rPr>
        <w:t>会不可避免地发生各种急性伤病，以心血管、呼吸、中枢神经、胃肠道和运动（骨和肌肉等）系统的刺激或损害为主，重者可危及生命。</w:t>
      </w:r>
    </w:p>
    <w:p>
      <w:pPr>
        <w:widowControl/>
        <w:snapToGrid w:val="0"/>
        <w:spacing w:line="480" w:lineRule="exact"/>
        <w:ind w:firstLine="480" w:firstLineChars="200"/>
        <w:jc w:val="left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（二）由于</w:t>
      </w:r>
      <w:r>
        <w:rPr>
          <w:rFonts w:hint="eastAsia" w:ascii="仿宋" w:hAnsi="仿宋" w:eastAsia="仿宋" w:cs="仿宋"/>
          <w:color w:val="000000"/>
          <w:kern w:val="0"/>
          <w:sz w:val="24"/>
        </w:rPr>
        <w:t>急性</w:t>
      </w:r>
      <w:r>
        <w:rPr>
          <w:rFonts w:hint="eastAsia" w:ascii="仿宋" w:hAnsi="仿宋" w:eastAsia="仿宋" w:cs="仿宋"/>
          <w:kern w:val="0"/>
          <w:sz w:val="24"/>
        </w:rPr>
        <w:t>伤病具有不可预测性，因此对运动员全面身体检查、循症系统监控、积极防治伤病、建立健康档案等模式是非常重要和必要的。良好的身体状况是从事铁人三项运动的基础，在伤病状况下进行铁人三项运动，会增加运动员的健康安全风险。</w:t>
      </w:r>
    </w:p>
    <w:p>
      <w:pPr>
        <w:widowControl/>
        <w:snapToGrid w:val="0"/>
        <w:spacing w:line="480" w:lineRule="exact"/>
        <w:ind w:firstLine="480" w:firstLineChars="200"/>
        <w:jc w:val="left"/>
        <w:rPr>
          <w:rFonts w:ascii="仿宋" w:hAnsi="仿宋" w:eastAsia="仿宋" w:cs="仿宋"/>
          <w:color w:val="000000"/>
          <w:kern w:val="0"/>
          <w:sz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</w:rPr>
        <w:t>（三）为了</w:t>
      </w:r>
      <w:r>
        <w:rPr>
          <w:rFonts w:hint="eastAsia" w:ascii="仿宋" w:hAnsi="仿宋" w:eastAsia="仿宋" w:cs="仿宋"/>
          <w:kern w:val="0"/>
          <w:sz w:val="24"/>
        </w:rPr>
        <w:t>最大程度地保障参赛运动员的健康安全，确立“超前预防”思想，</w:t>
      </w:r>
      <w:r>
        <w:rPr>
          <w:rFonts w:hint="eastAsia" w:ascii="仿宋" w:hAnsi="仿宋" w:eastAsia="仿宋" w:cs="仿宋"/>
          <w:color w:val="000000"/>
          <w:kern w:val="0"/>
          <w:sz w:val="24"/>
        </w:rPr>
        <w:t>特制定此体检指导意见。运动员未能按要求提供体检证明或检查结果不符合以下要求的，不得参赛。</w:t>
      </w:r>
    </w:p>
    <w:p>
      <w:pPr>
        <w:widowControl/>
        <w:snapToGrid w:val="0"/>
        <w:spacing w:line="480" w:lineRule="exact"/>
        <w:ind w:firstLine="480" w:firstLineChars="200"/>
        <w:jc w:val="left"/>
        <w:outlineLvl w:val="0"/>
        <w:rPr>
          <w:rFonts w:ascii="仿宋" w:hAnsi="仿宋" w:eastAsia="仿宋" w:cs="仿宋"/>
          <w:color w:val="000000"/>
          <w:kern w:val="0"/>
          <w:sz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</w:rPr>
        <w:t>二、综合要求</w:t>
      </w:r>
    </w:p>
    <w:p>
      <w:pPr>
        <w:widowControl/>
        <w:snapToGrid w:val="0"/>
        <w:spacing w:line="480" w:lineRule="exact"/>
        <w:ind w:firstLine="480" w:firstLineChars="200"/>
        <w:jc w:val="left"/>
        <w:outlineLvl w:val="0"/>
        <w:rPr>
          <w:rFonts w:ascii="仿宋" w:hAnsi="仿宋" w:eastAsia="仿宋" w:cs="仿宋"/>
          <w:b/>
          <w:kern w:val="0"/>
          <w:sz w:val="24"/>
        </w:rPr>
      </w:pPr>
      <w:r>
        <w:rPr>
          <w:rFonts w:hint="eastAsia" w:ascii="仿宋" w:hAnsi="仿宋" w:eastAsia="仿宋" w:cs="仿宋"/>
          <w:b/>
          <w:kern w:val="0"/>
          <w:sz w:val="24"/>
        </w:rPr>
        <w:t>（一）赛前体检</w:t>
      </w:r>
    </w:p>
    <w:p>
      <w:pPr>
        <w:widowControl/>
        <w:snapToGrid w:val="0"/>
        <w:spacing w:line="480" w:lineRule="exact"/>
        <w:ind w:firstLine="480" w:firstLineChars="200"/>
        <w:jc w:val="left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运动员必须及时了解自身的健康和体能状况，并在赛前或最长不超过赛前六个月的时间，自行到“二级甲”或以上等级的医院进行体检。</w:t>
      </w:r>
    </w:p>
    <w:p>
      <w:pPr>
        <w:widowControl/>
        <w:snapToGrid w:val="0"/>
        <w:spacing w:line="480" w:lineRule="exact"/>
        <w:ind w:firstLine="480" w:firstLineChars="200"/>
        <w:jc w:val="left"/>
        <w:outlineLvl w:val="0"/>
        <w:rPr>
          <w:rFonts w:ascii="仿宋" w:hAnsi="仿宋" w:eastAsia="仿宋" w:cs="仿宋"/>
          <w:b/>
          <w:color w:val="000000"/>
          <w:kern w:val="0"/>
          <w:sz w:val="24"/>
        </w:rPr>
      </w:pPr>
      <w:r>
        <w:rPr>
          <w:rFonts w:hint="eastAsia" w:ascii="仿宋" w:hAnsi="仿宋" w:eastAsia="仿宋" w:cs="仿宋"/>
          <w:b/>
          <w:color w:val="000000"/>
          <w:kern w:val="0"/>
          <w:sz w:val="24"/>
        </w:rPr>
        <w:t>（二）自我监控</w:t>
      </w:r>
    </w:p>
    <w:p>
      <w:pPr>
        <w:widowControl/>
        <w:snapToGrid w:val="0"/>
        <w:spacing w:line="480" w:lineRule="exact"/>
        <w:ind w:firstLine="480" w:firstLineChars="200"/>
        <w:jc w:val="left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</w:rPr>
        <w:t>赛前单次体检结果正常，仅仅表示选择的体检项目所反映的身体健康状况。由于体检方法及项目所限，并</w:t>
      </w:r>
      <w:r>
        <w:rPr>
          <w:rFonts w:hint="eastAsia" w:ascii="仿宋" w:hAnsi="仿宋" w:eastAsia="仿宋" w:cs="仿宋"/>
          <w:b/>
          <w:kern w:val="0"/>
          <w:sz w:val="24"/>
        </w:rPr>
        <w:t>不能</w:t>
      </w:r>
      <w:r>
        <w:rPr>
          <w:rFonts w:hint="eastAsia" w:ascii="仿宋" w:hAnsi="仿宋" w:eastAsia="仿宋" w:cs="仿宋"/>
          <w:color w:val="000000"/>
          <w:kern w:val="0"/>
          <w:sz w:val="24"/>
        </w:rPr>
        <w:t>完全排除身体潜在的风险；由于</w:t>
      </w:r>
      <w:r>
        <w:rPr>
          <w:rFonts w:hint="eastAsia" w:ascii="仿宋" w:hAnsi="仿宋" w:eastAsia="仿宋" w:cs="仿宋"/>
          <w:kern w:val="0"/>
          <w:sz w:val="24"/>
        </w:rPr>
        <w:t>“人身体状况的可变性”，</w:t>
      </w:r>
      <w:r>
        <w:rPr>
          <w:rFonts w:hint="eastAsia" w:ascii="仿宋" w:hAnsi="仿宋" w:eastAsia="仿宋" w:cs="仿宋"/>
          <w:color w:val="000000"/>
          <w:kern w:val="0"/>
          <w:sz w:val="24"/>
        </w:rPr>
        <w:t>更</w:t>
      </w:r>
      <w:r>
        <w:rPr>
          <w:rFonts w:hint="eastAsia" w:ascii="仿宋" w:hAnsi="仿宋" w:eastAsia="仿宋" w:cs="仿宋"/>
          <w:b/>
          <w:kern w:val="0"/>
          <w:sz w:val="24"/>
        </w:rPr>
        <w:t>不能</w:t>
      </w:r>
      <w:r>
        <w:rPr>
          <w:rFonts w:hint="eastAsia" w:ascii="仿宋" w:hAnsi="仿宋" w:eastAsia="仿宋" w:cs="仿宋"/>
          <w:color w:val="000000"/>
          <w:kern w:val="0"/>
          <w:sz w:val="24"/>
        </w:rPr>
        <w:t>证明运动员完全有能力安全完成比赛。因此</w:t>
      </w:r>
      <w:r>
        <w:rPr>
          <w:rFonts w:hint="eastAsia" w:ascii="仿宋" w:hAnsi="仿宋" w:eastAsia="仿宋" w:cs="仿宋"/>
          <w:kern w:val="0"/>
          <w:sz w:val="24"/>
        </w:rPr>
        <w:t>每位参赛运动员必须做到：</w:t>
      </w:r>
    </w:p>
    <w:p>
      <w:pPr>
        <w:widowControl/>
        <w:snapToGrid w:val="0"/>
        <w:spacing w:line="480" w:lineRule="exact"/>
        <w:ind w:firstLine="480" w:firstLineChars="200"/>
        <w:jc w:val="left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1．赛前主动确保自身状况良好，没有感冒、发热、病毒性或细菌性扁桃体炎、其它急慢性伤病等。</w:t>
      </w:r>
    </w:p>
    <w:p>
      <w:pPr>
        <w:widowControl/>
        <w:snapToGrid w:val="0"/>
        <w:spacing w:line="480" w:lineRule="exact"/>
        <w:ind w:firstLine="480" w:firstLineChars="200"/>
        <w:jc w:val="left"/>
        <w:rPr>
          <w:rFonts w:ascii="仿宋" w:hAnsi="仿宋" w:eastAsia="仿宋" w:cs="仿宋"/>
          <w:b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2．</w:t>
      </w:r>
      <w:r>
        <w:rPr>
          <w:rFonts w:hint="eastAsia" w:ascii="仿宋" w:hAnsi="仿宋" w:eastAsia="仿宋" w:cs="仿宋"/>
          <w:color w:val="000000"/>
          <w:kern w:val="0"/>
          <w:sz w:val="24"/>
        </w:rPr>
        <w:t>赛前或赛中</w:t>
      </w:r>
      <w:r>
        <w:rPr>
          <w:rFonts w:hint="eastAsia" w:ascii="仿宋" w:hAnsi="仿宋" w:eastAsia="仿宋" w:cs="仿宋"/>
          <w:kern w:val="0"/>
          <w:sz w:val="24"/>
        </w:rPr>
        <w:t>出现身体异常症状，应主动退出比赛，及时告知比赛组委会，尽快就医。</w:t>
      </w:r>
    </w:p>
    <w:p>
      <w:pPr>
        <w:widowControl/>
        <w:snapToGrid w:val="0"/>
        <w:spacing w:line="480" w:lineRule="exact"/>
        <w:ind w:firstLine="480" w:firstLineChars="200"/>
        <w:jc w:val="left"/>
        <w:outlineLvl w:val="0"/>
        <w:rPr>
          <w:rFonts w:ascii="仿宋" w:hAnsi="仿宋" w:eastAsia="仿宋" w:cs="仿宋"/>
          <w:color w:val="000000"/>
          <w:kern w:val="0"/>
          <w:sz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</w:rPr>
        <w:t>三、体检项目</w:t>
      </w:r>
    </w:p>
    <w:p>
      <w:pPr>
        <w:widowControl/>
        <w:snapToGrid w:val="0"/>
        <w:spacing w:line="480" w:lineRule="exact"/>
        <w:ind w:firstLine="480" w:firstLineChars="200"/>
        <w:jc w:val="left"/>
        <w:rPr>
          <w:rFonts w:ascii="仿宋" w:hAnsi="仿宋" w:eastAsia="仿宋" w:cs="仿宋"/>
          <w:color w:val="000000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以下体检项目是根据铁人三项运动中的常见</w:t>
      </w:r>
      <w:r>
        <w:rPr>
          <w:rFonts w:hint="eastAsia" w:ascii="仿宋" w:hAnsi="仿宋" w:eastAsia="仿宋" w:cs="仿宋"/>
          <w:color w:val="000000"/>
          <w:kern w:val="0"/>
          <w:sz w:val="24"/>
        </w:rPr>
        <w:t>急性伤病所设，其中第（一）至（三）项为必检项目，比赛组委会将在赛前对其进行审查。</w:t>
      </w:r>
    </w:p>
    <w:p>
      <w:pPr>
        <w:widowControl/>
        <w:numPr>
          <w:ilvl w:val="0"/>
          <w:numId w:val="1"/>
        </w:numPr>
        <w:snapToGrid w:val="0"/>
        <w:spacing w:line="480" w:lineRule="exact"/>
        <w:jc w:val="left"/>
        <w:rPr>
          <w:rFonts w:ascii="仿宋" w:hAnsi="仿宋" w:eastAsia="仿宋" w:cs="仿宋"/>
          <w:b/>
          <w:kern w:val="0"/>
          <w:sz w:val="24"/>
        </w:rPr>
      </w:pPr>
      <w:r>
        <w:rPr>
          <w:rFonts w:hint="eastAsia" w:ascii="仿宋" w:hAnsi="仿宋" w:eastAsia="仿宋" w:cs="仿宋"/>
          <w:b/>
          <w:kern w:val="0"/>
          <w:sz w:val="24"/>
        </w:rPr>
        <w:t>内外科一般检查</w:t>
      </w:r>
    </w:p>
    <w:p>
      <w:pPr>
        <w:widowControl/>
        <w:snapToGrid w:val="0"/>
        <w:spacing w:line="480" w:lineRule="exact"/>
        <w:ind w:firstLine="480" w:firstLineChars="200"/>
        <w:jc w:val="left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重点询问和甄别参赛运动员有无以下情况：</w:t>
      </w:r>
    </w:p>
    <w:p>
      <w:pPr>
        <w:widowControl/>
        <w:snapToGrid w:val="0"/>
        <w:spacing w:line="480" w:lineRule="exact"/>
        <w:ind w:firstLine="480" w:firstLineChars="200"/>
        <w:jc w:val="left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1．心血管系统疾病，如高血压、瓣膜病、冠心病、心肌病；</w:t>
      </w:r>
    </w:p>
    <w:p>
      <w:pPr>
        <w:widowControl/>
        <w:snapToGrid w:val="0"/>
        <w:spacing w:line="480" w:lineRule="exact"/>
        <w:ind w:firstLine="480" w:firstLineChars="200"/>
        <w:jc w:val="left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2．中枢神经系统疾病，如癫痫、</w:t>
      </w:r>
      <w:r>
        <w:rPr>
          <w:rFonts w:hint="eastAsia" w:ascii="仿宋" w:hAnsi="仿宋" w:eastAsia="仿宋" w:cs="仿宋"/>
          <w:color w:val="000000"/>
          <w:kern w:val="0"/>
          <w:sz w:val="24"/>
        </w:rPr>
        <w:t>严重神经衰弱综合征</w:t>
      </w:r>
      <w:r>
        <w:rPr>
          <w:rFonts w:hint="eastAsia" w:ascii="仿宋" w:hAnsi="仿宋" w:eastAsia="仿宋" w:cs="仿宋"/>
          <w:kern w:val="0"/>
          <w:sz w:val="24"/>
        </w:rPr>
        <w:t>；</w:t>
      </w:r>
    </w:p>
    <w:p>
      <w:pPr>
        <w:widowControl/>
        <w:snapToGrid w:val="0"/>
        <w:spacing w:line="480" w:lineRule="exact"/>
        <w:ind w:firstLine="480" w:firstLineChars="200"/>
        <w:jc w:val="left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3．猝死等家族史；</w:t>
      </w:r>
    </w:p>
    <w:p>
      <w:pPr>
        <w:widowControl/>
        <w:snapToGrid w:val="0"/>
        <w:spacing w:line="480" w:lineRule="exact"/>
        <w:ind w:firstLine="480" w:firstLineChars="200"/>
        <w:jc w:val="left"/>
        <w:rPr>
          <w:rFonts w:ascii="仿宋" w:hAnsi="仿宋" w:eastAsia="仿宋" w:cs="仿宋"/>
          <w:color w:val="000000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4．运动</w:t>
      </w:r>
      <w:r>
        <w:rPr>
          <w:rFonts w:hint="eastAsia" w:ascii="仿宋" w:hAnsi="仿宋" w:eastAsia="仿宋" w:cs="仿宋"/>
          <w:color w:val="000000"/>
          <w:kern w:val="0"/>
          <w:sz w:val="24"/>
        </w:rPr>
        <w:t>性应激性或急性伤病的既往史；</w:t>
      </w:r>
    </w:p>
    <w:p>
      <w:pPr>
        <w:widowControl/>
        <w:snapToGrid w:val="0"/>
        <w:spacing w:line="480" w:lineRule="exact"/>
        <w:ind w:firstLine="480" w:firstLineChars="200"/>
        <w:jc w:val="left"/>
        <w:rPr>
          <w:rFonts w:ascii="仿宋" w:hAnsi="仿宋" w:eastAsia="仿宋" w:cs="仿宋"/>
          <w:color w:val="000000"/>
          <w:kern w:val="0"/>
          <w:sz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</w:rPr>
        <w:t>5</w:t>
      </w:r>
      <w:r>
        <w:rPr>
          <w:rFonts w:hint="eastAsia" w:ascii="仿宋" w:hAnsi="仿宋" w:eastAsia="仿宋" w:cs="仿宋"/>
          <w:kern w:val="0"/>
          <w:sz w:val="24"/>
        </w:rPr>
        <w:t>．</w:t>
      </w:r>
      <w:r>
        <w:rPr>
          <w:rFonts w:hint="eastAsia" w:ascii="仿宋" w:hAnsi="仿宋" w:eastAsia="仿宋" w:cs="仿宋"/>
          <w:color w:val="000000"/>
          <w:kern w:val="0"/>
          <w:sz w:val="24"/>
        </w:rPr>
        <w:t>呼吸系统疾病，如过敏性支气管哮喘、急或慢性呼吸道感染；</w:t>
      </w:r>
    </w:p>
    <w:p>
      <w:pPr>
        <w:widowControl/>
        <w:snapToGrid w:val="0"/>
        <w:spacing w:line="480" w:lineRule="exact"/>
        <w:ind w:firstLine="480" w:firstLineChars="200"/>
        <w:jc w:val="left"/>
        <w:rPr>
          <w:rFonts w:ascii="仿宋" w:hAnsi="仿宋" w:eastAsia="仿宋" w:cs="仿宋"/>
          <w:color w:val="000000"/>
          <w:kern w:val="0"/>
          <w:sz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</w:rPr>
        <w:t>6</w:t>
      </w:r>
      <w:r>
        <w:rPr>
          <w:rFonts w:hint="eastAsia" w:ascii="仿宋" w:hAnsi="仿宋" w:eastAsia="仿宋" w:cs="仿宋"/>
          <w:kern w:val="0"/>
          <w:sz w:val="24"/>
        </w:rPr>
        <w:t>．</w:t>
      </w:r>
      <w:r>
        <w:rPr>
          <w:rFonts w:hint="eastAsia" w:ascii="仿宋" w:hAnsi="仿宋" w:eastAsia="仿宋" w:cs="仿宋"/>
          <w:color w:val="000000"/>
          <w:kern w:val="0"/>
          <w:sz w:val="24"/>
        </w:rPr>
        <w:t>胃肠道疾病，如消化道溃疡活动期。</w:t>
      </w:r>
    </w:p>
    <w:p>
      <w:pPr>
        <w:widowControl/>
        <w:snapToGrid w:val="0"/>
        <w:spacing w:line="480" w:lineRule="exact"/>
        <w:ind w:firstLine="480" w:firstLineChars="200"/>
        <w:jc w:val="left"/>
        <w:rPr>
          <w:rFonts w:ascii="仿宋" w:hAnsi="仿宋" w:eastAsia="仿宋" w:cs="仿宋"/>
          <w:b/>
          <w:kern w:val="0"/>
          <w:sz w:val="24"/>
        </w:rPr>
      </w:pPr>
      <w:r>
        <w:rPr>
          <w:rFonts w:hint="eastAsia" w:ascii="仿宋" w:hAnsi="仿宋" w:eastAsia="仿宋" w:cs="仿宋"/>
          <w:b/>
          <w:kern w:val="0"/>
          <w:sz w:val="24"/>
        </w:rPr>
        <w:t>（二）血压检查</w:t>
      </w:r>
    </w:p>
    <w:p>
      <w:pPr>
        <w:widowControl/>
        <w:snapToGrid w:val="0"/>
        <w:spacing w:line="480" w:lineRule="exact"/>
        <w:ind w:firstLine="480" w:firstLineChars="200"/>
        <w:jc w:val="left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1．50岁以下的运动员：收缩压≤130mmHg（17.3KPa），舒张压≤85mmHg（11.3KPa）；</w:t>
      </w:r>
    </w:p>
    <w:p>
      <w:pPr>
        <w:widowControl/>
        <w:snapToGrid w:val="0"/>
        <w:spacing w:line="480" w:lineRule="exact"/>
        <w:ind w:firstLine="480" w:firstLineChars="200"/>
        <w:jc w:val="left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2．50岁以上（包括50岁）的运动员：收缩压≤140mmHg（18.6KPa），舒张压≤90mmHg（12KPa）。</w:t>
      </w:r>
    </w:p>
    <w:p>
      <w:pPr>
        <w:widowControl/>
        <w:snapToGrid w:val="0"/>
        <w:spacing w:line="480" w:lineRule="exact"/>
        <w:ind w:firstLine="480" w:firstLineChars="200"/>
        <w:jc w:val="left"/>
        <w:rPr>
          <w:rFonts w:ascii="仿宋" w:hAnsi="仿宋" w:eastAsia="仿宋" w:cs="仿宋"/>
          <w:b/>
          <w:kern w:val="0"/>
          <w:sz w:val="24"/>
        </w:rPr>
      </w:pPr>
      <w:r>
        <w:rPr>
          <w:rFonts w:hint="eastAsia" w:ascii="仿宋" w:hAnsi="仿宋" w:eastAsia="仿宋" w:cs="仿宋"/>
          <w:b/>
          <w:kern w:val="0"/>
          <w:sz w:val="24"/>
        </w:rPr>
        <w:t>（三）心电图检查</w:t>
      </w:r>
    </w:p>
    <w:p>
      <w:pPr>
        <w:widowControl/>
        <w:snapToGrid w:val="0"/>
        <w:spacing w:line="480" w:lineRule="exact"/>
        <w:ind w:firstLine="480" w:firstLineChars="200"/>
        <w:jc w:val="left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心电图报告须附医师诊断意见，评估标准如下：</w:t>
      </w:r>
    </w:p>
    <w:p>
      <w:pPr>
        <w:widowControl/>
        <w:snapToGrid w:val="0"/>
        <w:spacing w:line="480" w:lineRule="exact"/>
        <w:ind w:firstLine="480" w:firstLineChars="200"/>
        <w:jc w:val="left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1．正常心电图（经医院确诊无明显异常）：</w:t>
      </w:r>
    </w:p>
    <w:p>
      <w:pPr>
        <w:widowControl/>
        <w:snapToGrid w:val="0"/>
        <w:spacing w:line="480" w:lineRule="exact"/>
        <w:ind w:firstLine="480" w:firstLineChars="200"/>
        <w:jc w:val="left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（1）窦性心律；</w:t>
      </w:r>
    </w:p>
    <w:p>
      <w:pPr>
        <w:widowControl/>
        <w:snapToGrid w:val="0"/>
        <w:spacing w:line="480" w:lineRule="exact"/>
        <w:ind w:firstLine="480" w:firstLineChars="200"/>
        <w:jc w:val="left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（2）成人心率40～100次/分（专业运动员心率可低于40次/分）。</w:t>
      </w:r>
    </w:p>
    <w:p>
      <w:pPr>
        <w:widowControl/>
        <w:snapToGrid w:val="0"/>
        <w:spacing w:line="480" w:lineRule="exact"/>
        <w:ind w:firstLine="480" w:firstLineChars="200"/>
        <w:jc w:val="left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2．不符合参赛条件的异常心电图包括但不限于：</w:t>
      </w:r>
    </w:p>
    <w:p>
      <w:pPr>
        <w:widowControl/>
        <w:snapToGrid w:val="0"/>
        <w:spacing w:line="480" w:lineRule="exact"/>
        <w:ind w:firstLine="480" w:firstLineChars="200"/>
        <w:jc w:val="left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（1）窦性心动过速，成人心率＞100次/分；室性心动过速；</w:t>
      </w:r>
    </w:p>
    <w:p>
      <w:pPr>
        <w:widowControl/>
        <w:snapToGrid w:val="0"/>
        <w:spacing w:line="480" w:lineRule="exact"/>
        <w:ind w:firstLine="480" w:firstLineChars="200"/>
        <w:jc w:val="left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（2）频发的窦性心律不齐；</w:t>
      </w:r>
    </w:p>
    <w:p>
      <w:pPr>
        <w:widowControl/>
        <w:snapToGrid w:val="0"/>
        <w:spacing w:line="480" w:lineRule="exact"/>
        <w:ind w:firstLine="480" w:firstLineChars="200"/>
        <w:jc w:val="left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（3）窦性停搏；房性、交界性、室性期前收缩或逸搏；</w:t>
      </w:r>
    </w:p>
    <w:p>
      <w:pPr>
        <w:widowControl/>
        <w:snapToGrid w:val="0"/>
        <w:spacing w:line="480" w:lineRule="exact"/>
        <w:ind w:firstLine="480" w:firstLineChars="200"/>
        <w:jc w:val="left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（4）病态窦房结综合症；</w:t>
      </w:r>
    </w:p>
    <w:p>
      <w:pPr>
        <w:widowControl/>
        <w:snapToGrid w:val="0"/>
        <w:spacing w:line="480" w:lineRule="exact"/>
        <w:ind w:firstLine="480" w:firstLineChars="200"/>
        <w:jc w:val="left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（5）Ⅱ度及以上的窦房、房室传导、左束支传导等阻滞；</w:t>
      </w:r>
    </w:p>
    <w:p>
      <w:pPr>
        <w:widowControl/>
        <w:snapToGrid w:val="0"/>
        <w:spacing w:line="480" w:lineRule="exact"/>
        <w:ind w:firstLine="480" w:firstLineChars="200"/>
        <w:jc w:val="left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（6）预激综合征；</w:t>
      </w:r>
    </w:p>
    <w:p>
      <w:pPr>
        <w:widowControl/>
        <w:snapToGrid w:val="0"/>
        <w:spacing w:line="480" w:lineRule="exact"/>
        <w:ind w:firstLine="480" w:firstLineChars="200"/>
        <w:jc w:val="left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（7）心肌缺血，ST段缺血型降低（包括水平型、下垂型、弓背型、下陷型、近似缺血型），T波改变（包括低平、双向、倒置），Q－T间期延长，U波倒置，心律失常等；</w:t>
      </w:r>
    </w:p>
    <w:p>
      <w:pPr>
        <w:widowControl/>
        <w:snapToGrid w:val="0"/>
        <w:spacing w:line="480" w:lineRule="exact"/>
        <w:ind w:firstLine="480" w:firstLineChars="200"/>
        <w:jc w:val="left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（8）其他心电图异常，如房颤。</w:t>
      </w:r>
    </w:p>
    <w:p>
      <w:pPr>
        <w:widowControl/>
        <w:snapToGrid w:val="0"/>
        <w:spacing w:line="480" w:lineRule="exact"/>
        <w:ind w:firstLine="480" w:firstLineChars="200"/>
        <w:jc w:val="left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b/>
          <w:kern w:val="0"/>
          <w:sz w:val="24"/>
        </w:rPr>
        <w:t>（四）“血生化全项”（可酌情加做）</w:t>
      </w:r>
    </w:p>
    <w:p>
      <w:pPr>
        <w:widowControl/>
        <w:snapToGrid w:val="0"/>
        <w:spacing w:line="480" w:lineRule="exact"/>
        <w:ind w:firstLine="480" w:firstLineChars="200"/>
        <w:jc w:val="left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判断肝肾功能，血糖血脂、血清离子、心肌酶谱等的情况。</w:t>
      </w:r>
    </w:p>
    <w:p>
      <w:pPr>
        <w:widowControl/>
        <w:snapToGrid w:val="0"/>
        <w:spacing w:line="480" w:lineRule="exact"/>
        <w:ind w:firstLine="480" w:firstLineChars="200"/>
        <w:jc w:val="left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b/>
          <w:kern w:val="0"/>
          <w:sz w:val="24"/>
        </w:rPr>
        <w:t>（五）“彩色超声心动图”（可酌情加做）</w:t>
      </w:r>
    </w:p>
    <w:p>
      <w:pPr>
        <w:widowControl/>
        <w:snapToGrid w:val="0"/>
        <w:spacing w:line="480" w:lineRule="exact"/>
        <w:ind w:firstLine="480" w:firstLineChars="200"/>
        <w:jc w:val="lef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4"/>
        </w:rPr>
        <w:t>判断心室、心房、瓣膜、心肌及其运动（收缩能力和顺应性）、射血分数及心输出量等的情况，规避心脏结构紊乱。</w:t>
      </w:r>
    </w:p>
    <w:p/>
    <w:sectPr>
      <w:pgSz w:w="11906" w:h="16838"/>
      <w:pgMar w:top="1021" w:right="1191" w:bottom="851" w:left="1191" w:header="851" w:footer="737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B72CA"/>
    <w:multiLevelType w:val="multilevel"/>
    <w:tmpl w:val="63AB72CA"/>
    <w:lvl w:ilvl="0" w:tentative="0">
      <w:start w:val="1"/>
      <w:numFmt w:val="japaneseCounting"/>
      <w:lvlText w:val="（%1）"/>
      <w:lvlJc w:val="left"/>
      <w:pPr>
        <w:tabs>
          <w:tab w:val="left" w:pos="1417"/>
        </w:tabs>
        <w:ind w:left="1417" w:hanging="85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02"/>
        </w:tabs>
        <w:ind w:left="1402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22"/>
        </w:tabs>
        <w:ind w:left="1822" w:hanging="420"/>
      </w:pPr>
    </w:lvl>
    <w:lvl w:ilvl="3" w:tentative="0">
      <w:start w:val="1"/>
      <w:numFmt w:val="decimal"/>
      <w:lvlText w:val="%4."/>
      <w:lvlJc w:val="left"/>
      <w:pPr>
        <w:tabs>
          <w:tab w:val="left" w:pos="2242"/>
        </w:tabs>
        <w:ind w:left="2242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62"/>
        </w:tabs>
        <w:ind w:left="2662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82"/>
        </w:tabs>
        <w:ind w:left="3082" w:hanging="420"/>
      </w:pPr>
    </w:lvl>
    <w:lvl w:ilvl="6" w:tentative="0">
      <w:start w:val="1"/>
      <w:numFmt w:val="decimal"/>
      <w:lvlText w:val="%7."/>
      <w:lvlJc w:val="left"/>
      <w:pPr>
        <w:tabs>
          <w:tab w:val="left" w:pos="3502"/>
        </w:tabs>
        <w:ind w:left="3502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22"/>
        </w:tabs>
        <w:ind w:left="3922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42"/>
        </w:tabs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4E"/>
    <w:rsid w:val="00132B4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ni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2018-08-14T06:16:00Z</dcterms:created>
  <dc:creator>门户一部</dc:creator>
  <cp:lastModifiedBy>门户一部</cp:lastModifiedBy>
  <dcterms:modified xsi:type="dcterms:W3CDTF">2018-08-14T06:16:29Z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