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0E" w:rsidRDefault="00C9270E">
      <w:pPr>
        <w:spacing w:line="560" w:lineRule="exact"/>
        <w:ind w:firstLine="640"/>
        <w:jc w:val="left"/>
        <w:rPr>
          <w:rFonts w:ascii="华文仿宋" w:eastAsia="华文仿宋" w:hAnsi="华文仿宋" w:cs="华文仿宋"/>
          <w:color w:val="000000"/>
          <w:kern w:val="0"/>
          <w:sz w:val="32"/>
          <w:szCs w:val="32"/>
          <w:lang w:bidi="ar"/>
        </w:rPr>
      </w:pPr>
    </w:p>
    <w:p w:rsidR="00504BD7" w:rsidRDefault="00504BD7" w:rsidP="00716A31">
      <w:pPr>
        <w:spacing w:line="560" w:lineRule="exact"/>
        <w:jc w:val="left"/>
        <w:rPr>
          <w:rFonts w:ascii="华文仿宋" w:eastAsia="华文仿宋" w:hAnsi="华文仿宋" w:cs="华文仿宋"/>
          <w:color w:val="000000"/>
          <w:kern w:val="0"/>
          <w:sz w:val="32"/>
          <w:szCs w:val="32"/>
          <w:lang w:bidi="ar"/>
        </w:rPr>
      </w:pPr>
    </w:p>
    <w:p w:rsidR="00C9270E" w:rsidRDefault="003D20D0" w:rsidP="00716A31">
      <w:pPr>
        <w:jc w:val="center"/>
        <w:rPr>
          <w:sz w:val="36"/>
          <w:szCs w:val="36"/>
        </w:rPr>
      </w:pPr>
      <w:r>
        <w:rPr>
          <w:rFonts w:hint="eastAsia"/>
          <w:sz w:val="36"/>
          <w:szCs w:val="36"/>
        </w:rPr>
        <w:t>摩托艇项</w:t>
      </w:r>
      <w:bookmarkStart w:id="0" w:name="_GoBack"/>
      <w:bookmarkEnd w:id="0"/>
      <w:r>
        <w:rPr>
          <w:rFonts w:hint="eastAsia"/>
          <w:sz w:val="36"/>
          <w:szCs w:val="36"/>
        </w:rPr>
        <w:t>目</w:t>
      </w:r>
      <w:r w:rsidR="00804639">
        <w:rPr>
          <w:rFonts w:hint="eastAsia"/>
          <w:sz w:val="36"/>
          <w:szCs w:val="36"/>
        </w:rPr>
        <w:t>参加印尼</w:t>
      </w:r>
      <w:r>
        <w:rPr>
          <w:rFonts w:hint="eastAsia"/>
          <w:sz w:val="36"/>
          <w:szCs w:val="36"/>
        </w:rPr>
        <w:t>亚运会选拔办法</w:t>
      </w:r>
      <w:r w:rsidR="00804639">
        <w:rPr>
          <w:rFonts w:hint="eastAsia"/>
          <w:sz w:val="36"/>
          <w:szCs w:val="36"/>
        </w:rPr>
        <w:t xml:space="preserve"> </w:t>
      </w:r>
    </w:p>
    <w:p w:rsidR="00C9270E" w:rsidRDefault="00C9270E">
      <w:pPr>
        <w:spacing w:line="560" w:lineRule="exact"/>
        <w:jc w:val="center"/>
        <w:rPr>
          <w:sz w:val="36"/>
          <w:szCs w:val="36"/>
        </w:rPr>
      </w:pPr>
    </w:p>
    <w:p w:rsidR="00C9270E" w:rsidRPr="00804639" w:rsidRDefault="003D20D0">
      <w:pPr>
        <w:spacing w:line="560" w:lineRule="exact"/>
        <w:jc w:val="left"/>
        <w:rPr>
          <w:rFonts w:ascii="仿宋" w:eastAsia="仿宋" w:hAnsi="仿宋" w:cs="华文仿宋"/>
          <w:sz w:val="32"/>
          <w:szCs w:val="32"/>
        </w:rPr>
      </w:pPr>
      <w:r w:rsidRPr="00804639">
        <w:rPr>
          <w:rFonts w:ascii="仿宋" w:eastAsia="仿宋" w:hAnsi="仿宋" w:cs="华文仿宋" w:hint="eastAsia"/>
          <w:sz w:val="32"/>
          <w:szCs w:val="32"/>
        </w:rPr>
        <w:t>各有关单位：</w:t>
      </w:r>
    </w:p>
    <w:p w:rsidR="00C9270E" w:rsidRPr="00804639" w:rsidRDefault="003D20D0">
      <w:pPr>
        <w:spacing w:line="560" w:lineRule="exact"/>
        <w:ind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第18届亚运会将于2018年8月18日-9月2日在印尼雅加达举行,摩托艇项目被列入正式的比赛项目。根据总局关于备战亚运会的有关指示精神要求，参照亚运会组委会下发的摩托艇项目技术手册内容，</w:t>
      </w:r>
      <w:r w:rsidR="00804639" w:rsidRPr="00804639">
        <w:rPr>
          <w:rFonts w:ascii="仿宋" w:eastAsia="仿宋" w:hAnsi="仿宋" w:cs="华文仿宋" w:hint="eastAsia"/>
          <w:color w:val="000000"/>
          <w:kern w:val="0"/>
          <w:sz w:val="32"/>
          <w:szCs w:val="32"/>
          <w:lang w:bidi="ar"/>
        </w:rPr>
        <w:t>结合选拔办法公示后一些单位反馈意见，</w:t>
      </w:r>
      <w:r w:rsidRPr="00804639">
        <w:rPr>
          <w:rFonts w:ascii="仿宋" w:eastAsia="仿宋" w:hAnsi="仿宋" w:cs="华文仿宋" w:hint="eastAsia"/>
          <w:color w:val="000000"/>
          <w:kern w:val="0"/>
          <w:sz w:val="32"/>
          <w:szCs w:val="32"/>
          <w:lang w:bidi="ar"/>
        </w:rPr>
        <w:t>为更加公平、公正、公开的选拔出最优秀选手参加亚运会，并力争取得优异成绩，现将选拔办法公布如下：</w:t>
      </w:r>
    </w:p>
    <w:p w:rsidR="00C9270E" w:rsidRPr="00804639" w:rsidRDefault="003D20D0">
      <w:pPr>
        <w:numPr>
          <w:ilvl w:val="0"/>
          <w:numId w:val="1"/>
        </w:numPr>
        <w:spacing w:line="560" w:lineRule="exact"/>
        <w:ind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参加选拔的赛事：</w:t>
      </w:r>
      <w:r w:rsidRPr="00804639">
        <w:rPr>
          <w:rFonts w:ascii="仿宋" w:eastAsia="仿宋" w:hAnsi="仿宋" w:cs="华文仿宋"/>
          <w:color w:val="000000"/>
          <w:kern w:val="0"/>
          <w:sz w:val="32"/>
          <w:szCs w:val="32"/>
          <w:lang w:bidi="ar"/>
        </w:rPr>
        <w:t>2018</w:t>
      </w:r>
      <w:r w:rsidRPr="00804639">
        <w:rPr>
          <w:rFonts w:ascii="仿宋" w:eastAsia="仿宋" w:hAnsi="仿宋" w:cs="华文仿宋" w:hint="eastAsia"/>
          <w:color w:val="000000"/>
          <w:kern w:val="0"/>
          <w:sz w:val="32"/>
          <w:szCs w:val="32"/>
          <w:lang w:bidi="ar"/>
        </w:rPr>
        <w:t>年全国摩托艇锦标赛（春季分站赛）第一场和第二场，共二场比赛。两场比赛之间将视情况进行短期集训，具体通知另发。</w:t>
      </w:r>
    </w:p>
    <w:p w:rsidR="00C9270E" w:rsidRPr="00804639" w:rsidRDefault="003D20D0">
      <w:pPr>
        <w:spacing w:line="56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二、比赛时间和地点：第一场比赛时间</w:t>
      </w:r>
      <w:r w:rsidRPr="00804639">
        <w:rPr>
          <w:rFonts w:ascii="仿宋" w:eastAsia="仿宋" w:hAnsi="仿宋" w:cs="华文仿宋"/>
          <w:color w:val="000000"/>
          <w:kern w:val="0"/>
          <w:sz w:val="32"/>
          <w:szCs w:val="32"/>
          <w:lang w:bidi="ar"/>
        </w:rPr>
        <w:t>2018</w:t>
      </w:r>
      <w:r w:rsidRPr="00804639">
        <w:rPr>
          <w:rFonts w:ascii="仿宋" w:eastAsia="仿宋" w:hAnsi="仿宋" w:cs="华文仿宋" w:hint="eastAsia"/>
          <w:color w:val="000000"/>
          <w:kern w:val="0"/>
          <w:sz w:val="32"/>
          <w:szCs w:val="32"/>
          <w:lang w:bidi="ar"/>
        </w:rPr>
        <w:t>年</w:t>
      </w:r>
      <w:r w:rsidRPr="00804639">
        <w:rPr>
          <w:rFonts w:ascii="仿宋" w:eastAsia="仿宋" w:hAnsi="仿宋" w:cs="华文仿宋"/>
          <w:color w:val="000000"/>
          <w:kern w:val="0"/>
          <w:sz w:val="32"/>
          <w:szCs w:val="32"/>
          <w:lang w:bidi="ar"/>
        </w:rPr>
        <w:t>4</w:t>
      </w:r>
      <w:r w:rsidRPr="00804639">
        <w:rPr>
          <w:rFonts w:ascii="仿宋" w:eastAsia="仿宋" w:hAnsi="仿宋" w:cs="华文仿宋" w:hint="eastAsia"/>
          <w:color w:val="000000"/>
          <w:kern w:val="0"/>
          <w:sz w:val="32"/>
          <w:szCs w:val="32"/>
          <w:lang w:bidi="ar"/>
        </w:rPr>
        <w:t>月</w:t>
      </w:r>
      <w:r w:rsidRPr="00804639">
        <w:rPr>
          <w:rFonts w:ascii="仿宋" w:eastAsia="仿宋" w:hAnsi="仿宋" w:cs="华文仿宋"/>
          <w:color w:val="000000"/>
          <w:kern w:val="0"/>
          <w:sz w:val="32"/>
          <w:szCs w:val="32"/>
          <w:lang w:bidi="ar"/>
        </w:rPr>
        <w:t>8</w:t>
      </w:r>
      <w:r w:rsidRPr="00804639">
        <w:rPr>
          <w:rFonts w:ascii="仿宋" w:eastAsia="仿宋" w:hAnsi="仿宋" w:cs="华文仿宋" w:hint="eastAsia"/>
          <w:color w:val="000000"/>
          <w:kern w:val="0"/>
          <w:sz w:val="32"/>
          <w:szCs w:val="32"/>
          <w:lang w:bidi="ar"/>
        </w:rPr>
        <w:t>日至</w:t>
      </w:r>
      <w:r w:rsidRPr="00804639">
        <w:rPr>
          <w:rFonts w:ascii="仿宋" w:eastAsia="仿宋" w:hAnsi="仿宋" w:cs="华文仿宋"/>
          <w:color w:val="000000"/>
          <w:kern w:val="0"/>
          <w:sz w:val="32"/>
          <w:szCs w:val="32"/>
          <w:lang w:bidi="ar"/>
        </w:rPr>
        <w:t>4</w:t>
      </w:r>
      <w:r w:rsidRPr="00804639">
        <w:rPr>
          <w:rFonts w:ascii="仿宋" w:eastAsia="仿宋" w:hAnsi="仿宋" w:cs="华文仿宋" w:hint="eastAsia"/>
          <w:color w:val="000000"/>
          <w:kern w:val="0"/>
          <w:sz w:val="32"/>
          <w:szCs w:val="32"/>
          <w:lang w:bidi="ar"/>
        </w:rPr>
        <w:t>月</w:t>
      </w:r>
      <w:r w:rsidRPr="00804639">
        <w:rPr>
          <w:rFonts w:ascii="仿宋" w:eastAsia="仿宋" w:hAnsi="仿宋" w:cs="华文仿宋"/>
          <w:color w:val="000000"/>
          <w:kern w:val="0"/>
          <w:sz w:val="32"/>
          <w:szCs w:val="32"/>
          <w:lang w:bidi="ar"/>
        </w:rPr>
        <w:t>11</w:t>
      </w:r>
      <w:r w:rsidRPr="00804639">
        <w:rPr>
          <w:rFonts w:ascii="仿宋" w:eastAsia="仿宋" w:hAnsi="仿宋" w:cs="华文仿宋" w:hint="eastAsia"/>
          <w:color w:val="000000"/>
          <w:kern w:val="0"/>
          <w:sz w:val="32"/>
          <w:szCs w:val="32"/>
          <w:lang w:bidi="ar"/>
        </w:rPr>
        <w:t>日；第二场比赛时间</w:t>
      </w:r>
      <w:r w:rsidRPr="00804639">
        <w:rPr>
          <w:rFonts w:ascii="仿宋" w:eastAsia="仿宋" w:hAnsi="仿宋" w:cs="华文仿宋"/>
          <w:color w:val="000000"/>
          <w:kern w:val="0"/>
          <w:sz w:val="32"/>
          <w:szCs w:val="32"/>
          <w:lang w:bidi="ar"/>
        </w:rPr>
        <w:t>2018</w:t>
      </w:r>
      <w:r w:rsidRPr="00804639">
        <w:rPr>
          <w:rFonts w:ascii="仿宋" w:eastAsia="仿宋" w:hAnsi="仿宋" w:cs="华文仿宋" w:hint="eastAsia"/>
          <w:color w:val="000000"/>
          <w:kern w:val="0"/>
          <w:sz w:val="32"/>
          <w:szCs w:val="32"/>
          <w:lang w:bidi="ar"/>
        </w:rPr>
        <w:t>年</w:t>
      </w:r>
      <w:r w:rsidRPr="00804639">
        <w:rPr>
          <w:rFonts w:ascii="仿宋" w:eastAsia="仿宋" w:hAnsi="仿宋" w:cs="华文仿宋"/>
          <w:color w:val="000000"/>
          <w:kern w:val="0"/>
          <w:sz w:val="32"/>
          <w:szCs w:val="32"/>
          <w:lang w:bidi="ar"/>
        </w:rPr>
        <w:t>4</w:t>
      </w:r>
      <w:r w:rsidRPr="00804639">
        <w:rPr>
          <w:rFonts w:ascii="仿宋" w:eastAsia="仿宋" w:hAnsi="仿宋" w:cs="华文仿宋" w:hint="eastAsia"/>
          <w:color w:val="000000"/>
          <w:kern w:val="0"/>
          <w:sz w:val="32"/>
          <w:szCs w:val="32"/>
          <w:lang w:bidi="ar"/>
        </w:rPr>
        <w:t>月</w:t>
      </w:r>
      <w:r w:rsidRPr="00804639">
        <w:rPr>
          <w:rFonts w:ascii="仿宋" w:eastAsia="仿宋" w:hAnsi="仿宋" w:cs="华文仿宋"/>
          <w:color w:val="000000"/>
          <w:kern w:val="0"/>
          <w:sz w:val="32"/>
          <w:szCs w:val="32"/>
          <w:lang w:bidi="ar"/>
        </w:rPr>
        <w:t>23</w:t>
      </w:r>
      <w:r w:rsidRPr="00804639">
        <w:rPr>
          <w:rFonts w:ascii="仿宋" w:eastAsia="仿宋" w:hAnsi="仿宋" w:cs="华文仿宋" w:hint="eastAsia"/>
          <w:color w:val="000000"/>
          <w:kern w:val="0"/>
          <w:sz w:val="32"/>
          <w:szCs w:val="32"/>
          <w:lang w:bidi="ar"/>
        </w:rPr>
        <w:t>日至</w:t>
      </w:r>
      <w:r w:rsidRPr="00804639">
        <w:rPr>
          <w:rFonts w:ascii="仿宋" w:eastAsia="仿宋" w:hAnsi="仿宋" w:cs="华文仿宋"/>
          <w:color w:val="000000"/>
          <w:kern w:val="0"/>
          <w:sz w:val="32"/>
          <w:szCs w:val="32"/>
          <w:lang w:bidi="ar"/>
        </w:rPr>
        <w:t>26</w:t>
      </w:r>
      <w:r w:rsidRPr="00804639">
        <w:rPr>
          <w:rFonts w:ascii="仿宋" w:eastAsia="仿宋" w:hAnsi="仿宋" w:cs="华文仿宋" w:hint="eastAsia"/>
          <w:color w:val="000000"/>
          <w:kern w:val="0"/>
          <w:sz w:val="32"/>
          <w:szCs w:val="32"/>
          <w:lang w:bidi="ar"/>
        </w:rPr>
        <w:t>日，地点均在深圳大鹏新区海域</w:t>
      </w:r>
    </w:p>
    <w:p w:rsidR="00C9270E" w:rsidRPr="00804639" w:rsidRDefault="003D20D0">
      <w:pPr>
        <w:spacing w:line="56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三、比赛设项：以下设项和亚运会设项完全一致。</w:t>
      </w:r>
    </w:p>
    <w:p w:rsidR="00C9270E" w:rsidRPr="00804639" w:rsidRDefault="003D20D0">
      <w:pPr>
        <w:numPr>
          <w:ilvl w:val="0"/>
          <w:numId w:val="2"/>
        </w:numPr>
        <w:spacing w:line="560" w:lineRule="exact"/>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男子</w:t>
      </w:r>
      <w:proofErr w:type="gramStart"/>
      <w:r w:rsidRPr="00804639">
        <w:rPr>
          <w:rFonts w:ascii="仿宋" w:eastAsia="仿宋" w:hAnsi="仿宋" w:cs="华文仿宋" w:hint="eastAsia"/>
          <w:color w:val="000000"/>
          <w:kern w:val="0"/>
          <w:sz w:val="32"/>
          <w:szCs w:val="32"/>
          <w:lang w:bidi="ar"/>
        </w:rPr>
        <w:t>立式水摩改装</w:t>
      </w:r>
      <w:proofErr w:type="gramEnd"/>
      <w:r w:rsidRPr="00804639">
        <w:rPr>
          <w:rFonts w:ascii="仿宋" w:eastAsia="仿宋" w:hAnsi="仿宋" w:cs="华文仿宋" w:hint="eastAsia"/>
          <w:color w:val="000000"/>
          <w:kern w:val="0"/>
          <w:sz w:val="32"/>
          <w:szCs w:val="32"/>
          <w:lang w:bidi="ar"/>
        </w:rPr>
        <w:t>级</w:t>
      </w:r>
    </w:p>
    <w:p w:rsidR="00C9270E" w:rsidRPr="00804639" w:rsidRDefault="003D20D0" w:rsidP="00DD622B">
      <w:pPr>
        <w:numPr>
          <w:ilvl w:val="0"/>
          <w:numId w:val="2"/>
        </w:numPr>
        <w:spacing w:line="440" w:lineRule="exact"/>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男子坐式</w:t>
      </w:r>
      <w:proofErr w:type="gramStart"/>
      <w:r w:rsidRPr="00804639">
        <w:rPr>
          <w:rFonts w:ascii="仿宋" w:eastAsia="仿宋" w:hAnsi="仿宋" w:cs="华文仿宋" w:hint="eastAsia"/>
          <w:color w:val="000000"/>
          <w:kern w:val="0"/>
          <w:sz w:val="32"/>
          <w:szCs w:val="32"/>
          <w:lang w:bidi="ar"/>
        </w:rPr>
        <w:t>水摩限制</w:t>
      </w:r>
      <w:proofErr w:type="gramEnd"/>
      <w:r w:rsidRPr="00804639">
        <w:rPr>
          <w:rFonts w:ascii="仿宋" w:eastAsia="仿宋" w:hAnsi="仿宋" w:cs="华文仿宋" w:hint="eastAsia"/>
          <w:color w:val="000000"/>
          <w:kern w:val="0"/>
          <w:sz w:val="32"/>
          <w:szCs w:val="32"/>
          <w:lang w:bidi="ar"/>
        </w:rPr>
        <w:t>级</w:t>
      </w:r>
    </w:p>
    <w:p w:rsidR="00C9270E" w:rsidRPr="00804639" w:rsidRDefault="003D20D0" w:rsidP="00DD622B">
      <w:pPr>
        <w:numPr>
          <w:ilvl w:val="0"/>
          <w:numId w:val="2"/>
        </w:numPr>
        <w:spacing w:line="440" w:lineRule="exact"/>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男子</w:t>
      </w:r>
      <w:proofErr w:type="gramStart"/>
      <w:r w:rsidRPr="00804639">
        <w:rPr>
          <w:rFonts w:ascii="仿宋" w:eastAsia="仿宋" w:hAnsi="仿宋" w:cs="华文仿宋" w:hint="eastAsia"/>
          <w:color w:val="000000"/>
          <w:kern w:val="0"/>
          <w:sz w:val="32"/>
          <w:szCs w:val="32"/>
          <w:lang w:bidi="ar"/>
        </w:rPr>
        <w:t>坐式水摩耐力</w:t>
      </w:r>
      <w:proofErr w:type="gramEnd"/>
      <w:r w:rsidRPr="00804639">
        <w:rPr>
          <w:rFonts w:ascii="仿宋" w:eastAsia="仿宋" w:hAnsi="仿宋" w:cs="华文仿宋" w:hint="eastAsia"/>
          <w:color w:val="000000"/>
          <w:kern w:val="0"/>
          <w:sz w:val="32"/>
          <w:szCs w:val="32"/>
          <w:lang w:bidi="ar"/>
        </w:rPr>
        <w:t>公开级</w:t>
      </w:r>
    </w:p>
    <w:p w:rsidR="00C9270E" w:rsidRPr="00804639" w:rsidRDefault="003D20D0" w:rsidP="00DD622B">
      <w:pPr>
        <w:numPr>
          <w:ilvl w:val="0"/>
          <w:numId w:val="2"/>
        </w:numPr>
        <w:spacing w:line="440" w:lineRule="exact"/>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男子</w:t>
      </w:r>
      <w:proofErr w:type="gramStart"/>
      <w:r w:rsidRPr="00804639">
        <w:rPr>
          <w:rFonts w:ascii="仿宋" w:eastAsia="仿宋" w:hAnsi="仿宋" w:cs="华文仿宋" w:hint="eastAsia"/>
          <w:color w:val="000000"/>
          <w:kern w:val="0"/>
          <w:sz w:val="32"/>
          <w:szCs w:val="32"/>
          <w:lang w:bidi="ar"/>
        </w:rPr>
        <w:t>坐式水摩</w:t>
      </w:r>
      <w:proofErr w:type="gramEnd"/>
      <w:r w:rsidRPr="00804639">
        <w:rPr>
          <w:rFonts w:ascii="仿宋" w:eastAsia="仿宋" w:hAnsi="仿宋" w:cs="华文仿宋" w:hint="eastAsia"/>
          <w:color w:val="000000"/>
          <w:kern w:val="0"/>
          <w:sz w:val="32"/>
          <w:szCs w:val="32"/>
          <w:lang w:bidi="ar"/>
        </w:rPr>
        <w:t>1100CC原厂级</w:t>
      </w:r>
    </w:p>
    <w:p w:rsidR="00C9270E" w:rsidRPr="00804639" w:rsidRDefault="003D20D0" w:rsidP="00DD622B">
      <w:pPr>
        <w:numPr>
          <w:ilvl w:val="0"/>
          <w:numId w:val="3"/>
        </w:numPr>
        <w:spacing w:line="44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参加单位和资格条件：</w:t>
      </w:r>
    </w:p>
    <w:p w:rsidR="00C9270E" w:rsidRPr="00804639" w:rsidRDefault="003D20D0" w:rsidP="00DD622B">
      <w:pPr>
        <w:numPr>
          <w:ilvl w:val="0"/>
          <w:numId w:val="4"/>
        </w:numPr>
        <w:spacing w:line="44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参加过近年来全国摩托艇三星级以上赛事（含三星级）的中国国籍选手（须通过政治审查和职业道德审核）</w:t>
      </w:r>
      <w:r w:rsidRPr="00804639">
        <w:rPr>
          <w:rFonts w:ascii="仿宋" w:eastAsia="仿宋" w:hAnsi="仿宋" w:cs="华文仿宋" w:hint="eastAsia"/>
          <w:color w:val="000000"/>
          <w:kern w:val="0"/>
          <w:sz w:val="32"/>
          <w:szCs w:val="32"/>
          <w:lang w:bidi="ar"/>
        </w:rPr>
        <w:lastRenderedPageBreak/>
        <w:t>均可参加；每个2017年注册团体会员单位每个项目最多可报2名选手，1名教练，1名领队，1名机械师。</w:t>
      </w:r>
    </w:p>
    <w:p w:rsidR="00C9270E" w:rsidRPr="00804639" w:rsidRDefault="003D20D0" w:rsidP="00DD622B">
      <w:pPr>
        <w:spacing w:line="44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（二）按照总局最新通知要求，具有一定技术水平和能力的摩托艇运动社会爱好者也可以报名参加，但其使用的器材要符合亚运会器材使用标准和规定，并须通过政审和职业道德审核。</w:t>
      </w:r>
    </w:p>
    <w:p w:rsidR="00C9270E" w:rsidRPr="00804639" w:rsidRDefault="003D20D0" w:rsidP="00DD622B">
      <w:pPr>
        <w:spacing w:line="44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（三）运动员不得兼项。</w:t>
      </w:r>
    </w:p>
    <w:p w:rsidR="00C9270E" w:rsidRPr="00804639" w:rsidRDefault="003D20D0" w:rsidP="00DD622B">
      <w:pPr>
        <w:spacing w:line="44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五、比赛执行的规则和器材标准：</w:t>
      </w:r>
    </w:p>
    <w:p w:rsidR="00C9270E" w:rsidRPr="00804639" w:rsidRDefault="003D20D0" w:rsidP="00DD622B">
      <w:pPr>
        <w:spacing w:line="440" w:lineRule="exact"/>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（一）本次比赛执行IJSBA2016-17年竞赛规则</w:t>
      </w:r>
    </w:p>
    <w:p w:rsidR="00C9270E" w:rsidRDefault="003D20D0" w:rsidP="00DD622B">
      <w:pPr>
        <w:spacing w:line="440" w:lineRule="exact"/>
        <w:ind w:firstLineChars="200" w:firstLine="640"/>
        <w:rPr>
          <w:rFonts w:ascii="华文仿宋" w:eastAsia="华文仿宋" w:hAnsi="华文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（二）具体器材使用标准和规定见下面列表：</w:t>
      </w:r>
    </w:p>
    <w:tbl>
      <w:tblPr>
        <w:tblStyle w:val="a6"/>
        <w:tblW w:w="998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76"/>
        <w:gridCol w:w="864"/>
        <w:gridCol w:w="1176"/>
        <w:gridCol w:w="1584"/>
        <w:gridCol w:w="1872"/>
        <w:gridCol w:w="1836"/>
        <w:gridCol w:w="1800"/>
      </w:tblGrid>
      <w:tr w:rsidR="00C9270E">
        <w:trPr>
          <w:trHeight w:val="314"/>
        </w:trPr>
        <w:tc>
          <w:tcPr>
            <w:tcW w:w="576" w:type="dxa"/>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 w:val="15"/>
                <w:szCs w:val="15"/>
              </w:rPr>
              <w:t>序号</w:t>
            </w:r>
          </w:p>
        </w:tc>
        <w:tc>
          <w:tcPr>
            <w:tcW w:w="1140" w:type="dxa"/>
            <w:gridSpan w:val="2"/>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项目</w:t>
            </w:r>
          </w:p>
        </w:tc>
        <w:tc>
          <w:tcPr>
            <w:tcW w:w="1176" w:type="dxa"/>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级别</w:t>
            </w:r>
          </w:p>
        </w:tc>
        <w:tc>
          <w:tcPr>
            <w:tcW w:w="1584" w:type="dxa"/>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排量</w:t>
            </w:r>
          </w:p>
        </w:tc>
        <w:tc>
          <w:tcPr>
            <w:tcW w:w="1872" w:type="dxa"/>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重量与尺寸</w:t>
            </w:r>
          </w:p>
        </w:tc>
        <w:tc>
          <w:tcPr>
            <w:tcW w:w="1836" w:type="dxa"/>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技术标准与内容</w:t>
            </w:r>
          </w:p>
        </w:tc>
        <w:tc>
          <w:tcPr>
            <w:tcW w:w="1800" w:type="dxa"/>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标准要点</w:t>
            </w:r>
          </w:p>
        </w:tc>
      </w:tr>
      <w:tr w:rsidR="00C9270E">
        <w:trPr>
          <w:trHeight w:val="770"/>
        </w:trPr>
        <w:tc>
          <w:tcPr>
            <w:tcW w:w="576" w:type="dxa"/>
            <w:vMerge w:val="restart"/>
            <w:vAlign w:val="center"/>
          </w:tcPr>
          <w:p w:rsidR="00C9270E" w:rsidRDefault="003D20D0">
            <w:pPr>
              <w:jc w:val="center"/>
              <w:rPr>
                <w:rFonts w:ascii="华文仿宋" w:eastAsia="华文仿宋" w:hAnsi="华文仿宋" w:cs="华文仿宋"/>
                <w:color w:val="000000"/>
                <w:kern w:val="0"/>
                <w:sz w:val="32"/>
                <w:szCs w:val="32"/>
                <w:lang w:bidi="ar"/>
              </w:rPr>
            </w:pPr>
            <w:r>
              <w:rPr>
                <w:rFonts w:ascii="华文仿宋" w:eastAsia="华文仿宋" w:hAnsi="华文仿宋" w:cs="华文仿宋" w:hint="eastAsia"/>
                <w:color w:val="000000"/>
                <w:kern w:val="0"/>
                <w:sz w:val="32"/>
                <w:szCs w:val="32"/>
                <w:lang w:bidi="ar"/>
              </w:rPr>
              <w:t>1</w:t>
            </w:r>
          </w:p>
        </w:tc>
        <w:tc>
          <w:tcPr>
            <w:tcW w:w="1140" w:type="dxa"/>
            <w:gridSpan w:val="2"/>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Ski</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Modified</w:t>
            </w:r>
          </w:p>
        </w:tc>
        <w:tc>
          <w:tcPr>
            <w:tcW w:w="1584"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2冲：≤1300cc</w:t>
            </w:r>
          </w:p>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4</w:t>
            </w:r>
            <w:proofErr w:type="gramStart"/>
            <w:r>
              <w:rPr>
                <w:rFonts w:asciiTheme="minorEastAsia" w:hAnsiTheme="minorEastAsia" w:hint="eastAsia"/>
                <w:bCs/>
                <w:snapToGrid w:val="0"/>
                <w:color w:val="000000" w:themeColor="text1"/>
                <w:sz w:val="18"/>
                <w:szCs w:val="18"/>
              </w:rPr>
              <w:t>冲自然</w:t>
            </w:r>
            <w:proofErr w:type="gramEnd"/>
            <w:r>
              <w:rPr>
                <w:rFonts w:asciiTheme="minorEastAsia" w:hAnsiTheme="minorEastAsia" w:hint="eastAsia"/>
                <w:bCs/>
                <w:snapToGrid w:val="0"/>
                <w:color w:val="000000" w:themeColor="text1"/>
                <w:sz w:val="18"/>
                <w:szCs w:val="18"/>
              </w:rPr>
              <w:t>吸气：≤1500cc</w:t>
            </w:r>
          </w:p>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4冲增压：≤900cc</w:t>
            </w:r>
          </w:p>
        </w:tc>
        <w:tc>
          <w:tcPr>
            <w:tcW w:w="1872"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艇长≤246.4cm</w:t>
            </w:r>
          </w:p>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艇宽= 50.8cm～76.2cm</w:t>
            </w:r>
          </w:p>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净重＞114kg</w:t>
            </w:r>
          </w:p>
        </w:tc>
        <w:tc>
          <w:tcPr>
            <w:tcW w:w="1836" w:type="dxa"/>
            <w:vMerge w:val="restart"/>
          </w:tcPr>
          <w:p w:rsidR="00C9270E" w:rsidRDefault="003D20D0" w:rsidP="00504BD7">
            <w:pPr>
              <w:pStyle w:val="a3"/>
              <w:widowControl/>
              <w:topLinePunct/>
              <w:autoSpaceDE/>
              <w:autoSpaceDN/>
              <w:snapToGrid w:val="0"/>
              <w:spacing w:beforeLines="50" w:before="156" w:afterLines="50" w:after="156"/>
              <w:ind w:left="0"/>
              <w:rPr>
                <w:rFonts w:ascii="Arial" w:hAnsi="Arial"/>
                <w:bCs/>
                <w:snapToGrid w:val="0"/>
                <w:sz w:val="15"/>
                <w:szCs w:val="15"/>
              </w:rPr>
            </w:pPr>
            <w:r>
              <w:rPr>
                <w:rFonts w:hint="eastAsia"/>
                <w:bCs/>
                <w:sz w:val="15"/>
                <w:szCs w:val="15"/>
              </w:rPr>
              <w:t>详细参考</w:t>
            </w:r>
            <w:r>
              <w:rPr>
                <w:rFonts w:hint="eastAsia"/>
                <w:bCs/>
                <w:sz w:val="15"/>
                <w:szCs w:val="15"/>
              </w:rPr>
              <w:t>IJSBA</w:t>
            </w:r>
            <w:r>
              <w:rPr>
                <w:rFonts w:hint="eastAsia"/>
                <w:bCs/>
                <w:sz w:val="15"/>
                <w:szCs w:val="15"/>
              </w:rPr>
              <w:t>技术规则</w:t>
            </w:r>
            <w:r>
              <w:rPr>
                <w:rFonts w:ascii="Arial" w:hAnsi="Arial"/>
                <w:bCs/>
                <w:snapToGrid w:val="0"/>
                <w:sz w:val="15"/>
                <w:szCs w:val="15"/>
              </w:rPr>
              <w:t xml:space="preserve">SKI Division </w:t>
            </w:r>
          </w:p>
          <w:p w:rsidR="00C9270E" w:rsidRDefault="003D20D0" w:rsidP="00504BD7">
            <w:pPr>
              <w:pStyle w:val="a3"/>
              <w:widowControl/>
              <w:topLinePunct/>
              <w:autoSpaceDE/>
              <w:autoSpaceDN/>
              <w:snapToGrid w:val="0"/>
              <w:spacing w:beforeLines="50" w:before="156" w:afterLines="50" w:after="156"/>
              <w:ind w:left="0"/>
              <w:rPr>
                <w:rFonts w:ascii="华文仿宋" w:eastAsia="华文仿宋" w:hAnsi="华文仿宋" w:cs="华文仿宋"/>
                <w:bCs/>
                <w:color w:val="000000"/>
                <w:kern w:val="0"/>
                <w:sz w:val="15"/>
                <w:szCs w:val="15"/>
                <w:lang w:bidi="ar"/>
              </w:rPr>
            </w:pPr>
            <w:r>
              <w:rPr>
                <w:rFonts w:ascii="Arial" w:hAnsi="Arial"/>
                <w:bCs/>
                <w:snapToGrid w:val="0"/>
                <w:sz w:val="15"/>
                <w:szCs w:val="15"/>
              </w:rPr>
              <w:t>13.1</w:t>
            </w:r>
            <w:r>
              <w:rPr>
                <w:rFonts w:ascii="Arial" w:hAnsi="Arial"/>
                <w:bCs/>
                <w:snapToGrid w:val="0"/>
                <w:sz w:val="15"/>
                <w:szCs w:val="15"/>
              </w:rPr>
              <w:tab/>
              <w:t>MODIFIED CLASS</w:t>
            </w:r>
            <w:r>
              <w:rPr>
                <w:rFonts w:ascii="Arial" w:hAnsi="Arial" w:hint="eastAsia"/>
                <w:bCs/>
                <w:snapToGrid w:val="0"/>
                <w:sz w:val="15"/>
                <w:szCs w:val="15"/>
              </w:rPr>
              <w:t xml:space="preserve"> </w:t>
            </w:r>
            <w:r>
              <w:rPr>
                <w:rFonts w:ascii="Arial" w:hAnsi="Arial"/>
                <w:bCs/>
                <w:snapToGrid w:val="0"/>
                <w:sz w:val="15"/>
                <w:szCs w:val="15"/>
              </w:rPr>
              <w:t>COMPETITION</w:t>
            </w:r>
            <w:r>
              <w:rPr>
                <w:rFonts w:ascii="Arial" w:hAnsi="Arial"/>
                <w:bCs/>
                <w:snapToGrid w:val="0"/>
                <w:sz w:val="15"/>
                <w:szCs w:val="15"/>
              </w:rPr>
              <w:tab/>
              <w:t xml:space="preserve">(GP) </w:t>
            </w:r>
          </w:p>
        </w:tc>
        <w:tc>
          <w:tcPr>
            <w:tcW w:w="1800" w:type="dxa"/>
            <w:vMerge w:val="restart"/>
            <w:vAlign w:val="center"/>
          </w:tcPr>
          <w:p w:rsidR="00C9270E" w:rsidRDefault="003D20D0">
            <w:pPr>
              <w:rPr>
                <w:rFonts w:ascii="华文仿宋" w:eastAsia="华文仿宋" w:hAnsi="华文仿宋" w:cs="华文仿宋"/>
                <w:bCs/>
                <w:color w:val="000000"/>
                <w:kern w:val="0"/>
                <w:sz w:val="18"/>
                <w:szCs w:val="18"/>
                <w:lang w:bidi="ar"/>
              </w:rPr>
            </w:pPr>
            <w:r>
              <w:rPr>
                <w:rFonts w:asciiTheme="minorEastAsia" w:hAnsiTheme="minorEastAsia" w:hint="eastAsia"/>
                <w:bCs/>
                <w:snapToGrid w:val="0"/>
                <w:color w:val="000000" w:themeColor="text1"/>
                <w:sz w:val="18"/>
                <w:szCs w:val="18"/>
              </w:rPr>
              <w:t>1.</w:t>
            </w:r>
            <w:r>
              <w:rPr>
                <w:rFonts w:asciiTheme="minorEastAsia" w:hAnsiTheme="minorEastAsia"/>
                <w:bCs/>
                <w:snapToGrid w:val="0"/>
                <w:color w:val="000000" w:themeColor="text1"/>
                <w:sz w:val="18"/>
                <w:szCs w:val="18"/>
              </w:rPr>
              <w:t>川崎SX-R</w:t>
            </w:r>
            <w:r>
              <w:rPr>
                <w:rFonts w:asciiTheme="minorEastAsia" w:hAnsiTheme="minorEastAsia" w:hint="eastAsia"/>
                <w:bCs/>
                <w:snapToGrid w:val="0"/>
                <w:color w:val="000000" w:themeColor="text1"/>
                <w:sz w:val="18"/>
                <w:szCs w:val="18"/>
              </w:rPr>
              <w:t>（4冲），</w:t>
            </w:r>
            <w:r>
              <w:rPr>
                <w:rFonts w:asciiTheme="minorEastAsia" w:hAnsiTheme="minorEastAsia"/>
                <w:bCs/>
                <w:snapToGrid w:val="0"/>
                <w:color w:val="000000" w:themeColor="text1"/>
                <w:sz w:val="18"/>
                <w:szCs w:val="18"/>
              </w:rPr>
              <w:t>必须使用原厂发动机组</w:t>
            </w:r>
            <w:r>
              <w:rPr>
                <w:rFonts w:asciiTheme="minorEastAsia" w:hAnsiTheme="minorEastAsia" w:hint="eastAsia"/>
                <w:bCs/>
                <w:snapToGrid w:val="0"/>
                <w:color w:val="000000" w:themeColor="text1"/>
                <w:sz w:val="18"/>
                <w:szCs w:val="18"/>
              </w:rPr>
              <w:t>2.有别于GP，引擎与艇壳须为同一品牌。</w:t>
            </w:r>
          </w:p>
        </w:tc>
      </w:tr>
      <w:tr w:rsidR="00C9270E">
        <w:tc>
          <w:tcPr>
            <w:tcW w:w="576"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140" w:type="dxa"/>
            <w:gridSpan w:val="2"/>
            <w:vAlign w:val="center"/>
          </w:tcPr>
          <w:p w:rsidR="00C9270E" w:rsidRDefault="003D20D0">
            <w:pPr>
              <w:jc w:val="center"/>
              <w:rPr>
                <w:bCs/>
                <w:szCs w:val="21"/>
              </w:rPr>
            </w:pPr>
            <w:r>
              <w:rPr>
                <w:rFonts w:hint="eastAsia"/>
                <w:bCs/>
                <w:szCs w:val="21"/>
              </w:rPr>
              <w:t>立式</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改装级</w:t>
            </w:r>
          </w:p>
        </w:tc>
        <w:tc>
          <w:tcPr>
            <w:tcW w:w="1584" w:type="dxa"/>
            <w:vMerge/>
            <w:vAlign w:val="center"/>
          </w:tcPr>
          <w:p w:rsidR="00C9270E" w:rsidRDefault="00C9270E">
            <w:pPr>
              <w:rPr>
                <w:rFonts w:asciiTheme="minorEastAsia" w:hAnsiTheme="minorEastAsia"/>
                <w:bCs/>
                <w:snapToGrid w:val="0"/>
                <w:color w:val="000000" w:themeColor="text1"/>
                <w:sz w:val="18"/>
                <w:szCs w:val="18"/>
              </w:rPr>
            </w:pPr>
          </w:p>
        </w:tc>
        <w:tc>
          <w:tcPr>
            <w:tcW w:w="1872" w:type="dxa"/>
            <w:vMerge/>
            <w:vAlign w:val="center"/>
          </w:tcPr>
          <w:p w:rsidR="00C9270E" w:rsidRDefault="00C9270E">
            <w:pPr>
              <w:rPr>
                <w:rFonts w:asciiTheme="minorEastAsia" w:hAnsiTheme="minorEastAsia"/>
                <w:bCs/>
                <w:snapToGrid w:val="0"/>
                <w:color w:val="000000" w:themeColor="text1"/>
                <w:sz w:val="18"/>
                <w:szCs w:val="18"/>
              </w:rPr>
            </w:pPr>
          </w:p>
        </w:tc>
        <w:tc>
          <w:tcPr>
            <w:tcW w:w="1836" w:type="dxa"/>
            <w:vMerge/>
          </w:tcPr>
          <w:p w:rsidR="00C9270E" w:rsidRDefault="00C9270E">
            <w:pPr>
              <w:rPr>
                <w:rFonts w:asciiTheme="minorEastAsia" w:hAnsiTheme="minorEastAsia"/>
                <w:bCs/>
                <w:snapToGrid w:val="0"/>
                <w:color w:val="000000" w:themeColor="text1"/>
                <w:sz w:val="15"/>
                <w:szCs w:val="15"/>
              </w:rPr>
            </w:pPr>
          </w:p>
        </w:tc>
        <w:tc>
          <w:tcPr>
            <w:tcW w:w="1800" w:type="dxa"/>
            <w:vMerge/>
            <w:vAlign w:val="center"/>
          </w:tcPr>
          <w:p w:rsidR="00C9270E" w:rsidRDefault="00C9270E">
            <w:pPr>
              <w:rPr>
                <w:rFonts w:asciiTheme="minorEastAsia" w:hAnsiTheme="minorEastAsia"/>
                <w:bCs/>
                <w:snapToGrid w:val="0"/>
                <w:color w:val="000000" w:themeColor="text1"/>
                <w:sz w:val="18"/>
                <w:szCs w:val="18"/>
              </w:rPr>
            </w:pPr>
          </w:p>
        </w:tc>
      </w:tr>
      <w:tr w:rsidR="00C9270E">
        <w:trPr>
          <w:trHeight w:val="882"/>
        </w:trPr>
        <w:tc>
          <w:tcPr>
            <w:tcW w:w="576" w:type="dxa"/>
            <w:vMerge w:val="restart"/>
            <w:vAlign w:val="center"/>
          </w:tcPr>
          <w:p w:rsidR="00C9270E" w:rsidRDefault="003D20D0">
            <w:pPr>
              <w:jc w:val="center"/>
              <w:rPr>
                <w:rFonts w:ascii="华文仿宋" w:eastAsia="华文仿宋" w:hAnsi="华文仿宋" w:cs="华文仿宋"/>
                <w:color w:val="000000"/>
                <w:kern w:val="0"/>
                <w:sz w:val="32"/>
                <w:szCs w:val="32"/>
                <w:lang w:bidi="ar"/>
              </w:rPr>
            </w:pPr>
            <w:r>
              <w:rPr>
                <w:rFonts w:ascii="华文仿宋" w:eastAsia="华文仿宋" w:hAnsi="华文仿宋" w:cs="华文仿宋" w:hint="eastAsia"/>
                <w:color w:val="000000"/>
                <w:kern w:val="0"/>
                <w:sz w:val="32"/>
                <w:szCs w:val="32"/>
                <w:lang w:bidi="ar"/>
              </w:rPr>
              <w:t>2</w:t>
            </w:r>
          </w:p>
        </w:tc>
        <w:tc>
          <w:tcPr>
            <w:tcW w:w="1140" w:type="dxa"/>
            <w:gridSpan w:val="2"/>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Runabout</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1100 Stock</w:t>
            </w:r>
          </w:p>
        </w:tc>
        <w:tc>
          <w:tcPr>
            <w:tcW w:w="1584" w:type="dxa"/>
            <w:vMerge w:val="restart"/>
            <w:vAlign w:val="center"/>
          </w:tcPr>
          <w:p w:rsidR="00C9270E" w:rsidRDefault="003D20D0">
            <w:pPr>
              <w:rPr>
                <w:rFonts w:ascii="华文仿宋" w:eastAsia="华文仿宋" w:hAnsi="华文仿宋" w:cs="华文仿宋"/>
                <w:bCs/>
                <w:color w:val="000000"/>
                <w:kern w:val="0"/>
                <w:sz w:val="32"/>
                <w:szCs w:val="32"/>
                <w:lang w:bidi="ar"/>
              </w:rPr>
            </w:pPr>
            <w:r>
              <w:rPr>
                <w:rFonts w:asciiTheme="minorEastAsia" w:hAnsiTheme="minorEastAsia" w:hint="eastAsia"/>
                <w:bCs/>
                <w:snapToGrid w:val="0"/>
                <w:color w:val="000000" w:themeColor="text1"/>
                <w:sz w:val="18"/>
                <w:szCs w:val="18"/>
              </w:rPr>
              <w:t>4</w:t>
            </w:r>
            <w:proofErr w:type="gramStart"/>
            <w:r>
              <w:rPr>
                <w:rFonts w:asciiTheme="minorEastAsia" w:hAnsiTheme="minorEastAsia" w:hint="eastAsia"/>
                <w:bCs/>
                <w:snapToGrid w:val="0"/>
                <w:color w:val="000000" w:themeColor="text1"/>
                <w:sz w:val="18"/>
                <w:szCs w:val="18"/>
              </w:rPr>
              <w:t>冲自然</w:t>
            </w:r>
            <w:proofErr w:type="gramEnd"/>
            <w:r>
              <w:rPr>
                <w:rFonts w:asciiTheme="minorEastAsia" w:hAnsiTheme="minorEastAsia" w:hint="eastAsia"/>
                <w:bCs/>
                <w:snapToGrid w:val="0"/>
                <w:color w:val="000000" w:themeColor="text1"/>
                <w:sz w:val="18"/>
                <w:szCs w:val="18"/>
              </w:rPr>
              <w:t>吸气：≤1100cc</w:t>
            </w:r>
          </w:p>
        </w:tc>
        <w:tc>
          <w:tcPr>
            <w:tcW w:w="1872"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艇长≤354cm</w:t>
            </w:r>
          </w:p>
          <w:p w:rsidR="00C9270E" w:rsidRDefault="003D20D0">
            <w:pPr>
              <w:rPr>
                <w:rFonts w:ascii="华文仿宋" w:eastAsia="华文仿宋" w:hAnsi="华文仿宋" w:cs="华文仿宋"/>
                <w:bCs/>
                <w:color w:val="000000"/>
                <w:kern w:val="0"/>
                <w:sz w:val="32"/>
                <w:szCs w:val="32"/>
                <w:lang w:bidi="ar"/>
              </w:rPr>
            </w:pPr>
            <w:r>
              <w:rPr>
                <w:rFonts w:asciiTheme="minorEastAsia" w:hAnsiTheme="minorEastAsia" w:hint="eastAsia"/>
                <w:bCs/>
                <w:snapToGrid w:val="0"/>
                <w:color w:val="000000" w:themeColor="text1"/>
                <w:sz w:val="18"/>
                <w:szCs w:val="18"/>
              </w:rPr>
              <w:t>艇宽=96.5cm～127cm</w:t>
            </w:r>
          </w:p>
        </w:tc>
        <w:tc>
          <w:tcPr>
            <w:tcW w:w="1836" w:type="dxa"/>
            <w:vMerge w:val="restart"/>
          </w:tcPr>
          <w:p w:rsidR="00C9270E" w:rsidRDefault="003D20D0">
            <w:pPr>
              <w:rPr>
                <w:rFonts w:ascii="华文仿宋" w:eastAsia="华文仿宋" w:hAnsi="华文仿宋" w:cs="华文仿宋"/>
                <w:bCs/>
                <w:color w:val="000000"/>
                <w:kern w:val="0"/>
                <w:sz w:val="15"/>
                <w:szCs w:val="15"/>
                <w:lang w:bidi="ar"/>
              </w:rPr>
            </w:pPr>
            <w:r>
              <w:rPr>
                <w:rFonts w:asciiTheme="minorEastAsia" w:hAnsiTheme="minorEastAsia" w:hint="eastAsia"/>
                <w:bCs/>
                <w:snapToGrid w:val="0"/>
                <w:color w:val="000000" w:themeColor="text1"/>
                <w:sz w:val="15"/>
                <w:szCs w:val="15"/>
              </w:rPr>
              <w:t>详细参考IJSBA技术规则RUNABOUT6.1</w:t>
            </w:r>
            <w:r>
              <w:rPr>
                <w:rFonts w:asciiTheme="minorEastAsia" w:hAnsiTheme="minorEastAsia" w:hint="eastAsia"/>
                <w:bCs/>
                <w:snapToGrid w:val="0"/>
                <w:color w:val="000000" w:themeColor="text1"/>
                <w:sz w:val="15"/>
                <w:szCs w:val="15"/>
              </w:rPr>
              <w:tab/>
              <w:t xml:space="preserve">RUNABOUT STOCKCLASSCOMPETITION  </w:t>
            </w:r>
          </w:p>
        </w:tc>
        <w:tc>
          <w:tcPr>
            <w:tcW w:w="1800"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艇型：Yamaha –ex；Sea-doo-spark</w:t>
            </w:r>
          </w:p>
          <w:p w:rsidR="00C9270E" w:rsidRDefault="003D20D0">
            <w:pPr>
              <w:rPr>
                <w:rFonts w:ascii="华文仿宋" w:eastAsia="华文仿宋" w:hAnsi="华文仿宋" w:cs="华文仿宋"/>
                <w:bCs/>
                <w:color w:val="000000"/>
                <w:kern w:val="0"/>
                <w:sz w:val="32"/>
                <w:szCs w:val="32"/>
                <w:lang w:bidi="ar"/>
              </w:rPr>
            </w:pPr>
            <w:r>
              <w:rPr>
                <w:rFonts w:asciiTheme="minorEastAsia" w:hAnsiTheme="minorEastAsia" w:hint="eastAsia"/>
                <w:bCs/>
                <w:snapToGrid w:val="0"/>
                <w:color w:val="000000" w:themeColor="text1"/>
                <w:sz w:val="18"/>
                <w:szCs w:val="18"/>
              </w:rPr>
              <w:t>ECU允许改动</w:t>
            </w:r>
          </w:p>
        </w:tc>
      </w:tr>
      <w:tr w:rsidR="00C9270E">
        <w:tc>
          <w:tcPr>
            <w:tcW w:w="576"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140" w:type="dxa"/>
            <w:gridSpan w:val="2"/>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坐式</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1100</w:t>
            </w:r>
            <w:r>
              <w:rPr>
                <w:rFonts w:hint="eastAsia"/>
                <w:bCs/>
                <w:szCs w:val="21"/>
              </w:rPr>
              <w:t>原厂</w:t>
            </w:r>
          </w:p>
        </w:tc>
        <w:tc>
          <w:tcPr>
            <w:tcW w:w="1584" w:type="dxa"/>
            <w:vMerge/>
            <w:vAlign w:val="center"/>
          </w:tcPr>
          <w:p w:rsidR="00C9270E" w:rsidRDefault="00C9270E">
            <w:pPr>
              <w:jc w:val="center"/>
              <w:rPr>
                <w:rFonts w:ascii="华文仿宋" w:eastAsia="华文仿宋" w:hAnsi="华文仿宋" w:cs="华文仿宋"/>
                <w:bCs/>
                <w:color w:val="000000"/>
                <w:kern w:val="0"/>
                <w:sz w:val="32"/>
                <w:szCs w:val="32"/>
                <w:lang w:bidi="ar"/>
              </w:rPr>
            </w:pPr>
          </w:p>
        </w:tc>
        <w:tc>
          <w:tcPr>
            <w:tcW w:w="1872" w:type="dxa"/>
            <w:vMerge/>
            <w:vAlign w:val="center"/>
          </w:tcPr>
          <w:p w:rsidR="00C9270E" w:rsidRDefault="00C9270E">
            <w:pPr>
              <w:jc w:val="center"/>
              <w:rPr>
                <w:rFonts w:ascii="华文仿宋" w:eastAsia="华文仿宋" w:hAnsi="华文仿宋" w:cs="华文仿宋"/>
                <w:bCs/>
                <w:color w:val="000000"/>
                <w:kern w:val="0"/>
                <w:sz w:val="32"/>
                <w:szCs w:val="32"/>
                <w:lang w:bidi="ar"/>
              </w:rPr>
            </w:pPr>
          </w:p>
        </w:tc>
        <w:tc>
          <w:tcPr>
            <w:tcW w:w="1836" w:type="dxa"/>
            <w:vMerge/>
            <w:vAlign w:val="center"/>
          </w:tcPr>
          <w:p w:rsidR="00C9270E" w:rsidRDefault="00C9270E">
            <w:pPr>
              <w:jc w:val="center"/>
              <w:rPr>
                <w:rFonts w:ascii="华文仿宋" w:eastAsia="华文仿宋" w:hAnsi="华文仿宋" w:cs="华文仿宋"/>
                <w:bCs/>
                <w:color w:val="000000"/>
                <w:kern w:val="0"/>
                <w:sz w:val="15"/>
                <w:szCs w:val="15"/>
                <w:lang w:bidi="ar"/>
              </w:rPr>
            </w:pPr>
          </w:p>
        </w:tc>
        <w:tc>
          <w:tcPr>
            <w:tcW w:w="1800" w:type="dxa"/>
            <w:vMerge/>
            <w:vAlign w:val="center"/>
          </w:tcPr>
          <w:p w:rsidR="00C9270E" w:rsidRDefault="00C9270E">
            <w:pPr>
              <w:jc w:val="center"/>
              <w:rPr>
                <w:rFonts w:ascii="华文仿宋" w:eastAsia="华文仿宋" w:hAnsi="华文仿宋" w:cs="华文仿宋"/>
                <w:bCs/>
                <w:color w:val="000000"/>
                <w:kern w:val="0"/>
                <w:sz w:val="32"/>
                <w:szCs w:val="32"/>
                <w:lang w:bidi="ar"/>
              </w:rPr>
            </w:pPr>
          </w:p>
        </w:tc>
      </w:tr>
      <w:tr w:rsidR="00C9270E">
        <w:trPr>
          <w:trHeight w:val="754"/>
        </w:trPr>
        <w:tc>
          <w:tcPr>
            <w:tcW w:w="576" w:type="dxa"/>
            <w:vMerge w:val="restart"/>
            <w:vAlign w:val="center"/>
          </w:tcPr>
          <w:p w:rsidR="00C9270E" w:rsidRDefault="003D20D0">
            <w:pPr>
              <w:jc w:val="center"/>
              <w:rPr>
                <w:rFonts w:ascii="华文仿宋" w:eastAsia="华文仿宋" w:hAnsi="华文仿宋" w:cs="华文仿宋"/>
                <w:color w:val="000000"/>
                <w:kern w:val="0"/>
                <w:sz w:val="32"/>
                <w:szCs w:val="32"/>
                <w:lang w:bidi="ar"/>
              </w:rPr>
            </w:pPr>
            <w:r>
              <w:rPr>
                <w:rFonts w:ascii="华文仿宋" w:eastAsia="华文仿宋" w:hAnsi="华文仿宋" w:cs="华文仿宋" w:hint="eastAsia"/>
                <w:color w:val="000000"/>
                <w:kern w:val="0"/>
                <w:sz w:val="32"/>
                <w:szCs w:val="32"/>
                <w:lang w:bidi="ar"/>
              </w:rPr>
              <w:t>3</w:t>
            </w:r>
          </w:p>
        </w:tc>
        <w:tc>
          <w:tcPr>
            <w:tcW w:w="1140" w:type="dxa"/>
            <w:gridSpan w:val="2"/>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Runabout</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Limited</w:t>
            </w:r>
          </w:p>
        </w:tc>
        <w:tc>
          <w:tcPr>
            <w:tcW w:w="1584"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4冲：≤2000cc</w:t>
            </w:r>
          </w:p>
        </w:tc>
        <w:tc>
          <w:tcPr>
            <w:tcW w:w="1872" w:type="dxa"/>
            <w:vMerge w:val="restart"/>
            <w:vAlign w:val="center"/>
          </w:tcPr>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艇长≤354cm</w:t>
            </w:r>
          </w:p>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艇宽=96.5cm～127cm</w:t>
            </w:r>
          </w:p>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净重＞272kg</w:t>
            </w:r>
          </w:p>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最大减幅 -15.88kg</w:t>
            </w:r>
          </w:p>
        </w:tc>
        <w:tc>
          <w:tcPr>
            <w:tcW w:w="1836" w:type="dxa"/>
            <w:vMerge w:val="restart"/>
          </w:tcPr>
          <w:p w:rsidR="00C9270E" w:rsidRDefault="003D20D0">
            <w:pPr>
              <w:rPr>
                <w:rFonts w:asciiTheme="minorEastAsia" w:hAnsiTheme="minorEastAsia"/>
                <w:bCs/>
                <w:snapToGrid w:val="0"/>
                <w:color w:val="000000" w:themeColor="text1"/>
                <w:sz w:val="15"/>
                <w:szCs w:val="15"/>
              </w:rPr>
            </w:pPr>
            <w:r>
              <w:rPr>
                <w:rFonts w:asciiTheme="minorEastAsia" w:hAnsiTheme="minorEastAsia" w:hint="eastAsia"/>
                <w:bCs/>
                <w:snapToGrid w:val="0"/>
                <w:color w:val="000000" w:themeColor="text1"/>
                <w:sz w:val="15"/>
                <w:szCs w:val="15"/>
              </w:rPr>
              <w:t>详细参考IJSBA技术规则 RUNABOUT LIMITED</w:t>
            </w:r>
          </w:p>
          <w:p w:rsidR="00C9270E" w:rsidRDefault="003D20D0">
            <w:pPr>
              <w:rPr>
                <w:rFonts w:asciiTheme="minorEastAsia" w:hAnsiTheme="minorEastAsia"/>
                <w:bCs/>
                <w:snapToGrid w:val="0"/>
                <w:color w:val="000000" w:themeColor="text1"/>
                <w:sz w:val="15"/>
                <w:szCs w:val="15"/>
              </w:rPr>
            </w:pPr>
            <w:r>
              <w:rPr>
                <w:rFonts w:asciiTheme="minorEastAsia" w:hAnsiTheme="minorEastAsia" w:hint="eastAsia"/>
                <w:bCs/>
                <w:snapToGrid w:val="0"/>
                <w:color w:val="000000" w:themeColor="text1"/>
                <w:sz w:val="15"/>
                <w:szCs w:val="15"/>
              </w:rPr>
              <w:t>7.1 LIMITED  CLASS COMPETITION</w:t>
            </w:r>
          </w:p>
        </w:tc>
        <w:tc>
          <w:tcPr>
            <w:tcW w:w="1800" w:type="dxa"/>
            <w:vMerge w:val="restart"/>
          </w:tcPr>
          <w:p w:rsidR="00C9270E" w:rsidRDefault="003D20D0">
            <w:pPr>
              <w:spacing w:line="240" w:lineRule="exact"/>
              <w:rPr>
                <w:rFonts w:asciiTheme="minorEastAsia" w:hAnsiTheme="minorEastAsia"/>
                <w:bCs/>
                <w:snapToGrid w:val="0"/>
                <w:color w:val="000000" w:themeColor="text1"/>
                <w:sz w:val="15"/>
                <w:szCs w:val="15"/>
              </w:rPr>
            </w:pPr>
            <w:r>
              <w:rPr>
                <w:rFonts w:asciiTheme="minorEastAsia" w:hAnsiTheme="minorEastAsia" w:hint="eastAsia"/>
                <w:bCs/>
                <w:snapToGrid w:val="0"/>
                <w:color w:val="000000" w:themeColor="text1"/>
                <w:sz w:val="15"/>
                <w:szCs w:val="15"/>
              </w:rPr>
              <w:t>1.增压器叶轮外壳必须保持原厂配置。2.中冷器可以改装或使用</w:t>
            </w:r>
            <w:proofErr w:type="gramStart"/>
            <w:r>
              <w:rPr>
                <w:rFonts w:asciiTheme="minorEastAsia" w:hAnsiTheme="minorEastAsia" w:hint="eastAsia"/>
                <w:bCs/>
                <w:snapToGrid w:val="0"/>
                <w:color w:val="000000" w:themeColor="text1"/>
                <w:sz w:val="15"/>
                <w:szCs w:val="15"/>
              </w:rPr>
              <w:t>副厂件</w:t>
            </w:r>
            <w:proofErr w:type="gramEnd"/>
            <w:r>
              <w:rPr>
                <w:rFonts w:asciiTheme="minorEastAsia" w:hAnsiTheme="minorEastAsia" w:hint="eastAsia"/>
                <w:bCs/>
                <w:snapToGrid w:val="0"/>
                <w:color w:val="000000" w:themeColor="text1"/>
                <w:sz w:val="15"/>
                <w:szCs w:val="15"/>
              </w:rPr>
              <w:t>.</w:t>
            </w:r>
          </w:p>
          <w:p w:rsidR="00C9270E" w:rsidRDefault="003D20D0">
            <w:pPr>
              <w:spacing w:line="240" w:lineRule="exact"/>
              <w:rPr>
                <w:rFonts w:asciiTheme="minorEastAsia" w:hAnsiTheme="minorEastAsia"/>
                <w:bCs/>
                <w:snapToGrid w:val="0"/>
                <w:color w:val="000000" w:themeColor="text1"/>
                <w:sz w:val="15"/>
                <w:szCs w:val="15"/>
              </w:rPr>
            </w:pPr>
            <w:r>
              <w:rPr>
                <w:rFonts w:asciiTheme="minorEastAsia" w:hAnsiTheme="minorEastAsia" w:hint="eastAsia"/>
                <w:bCs/>
                <w:snapToGrid w:val="0"/>
                <w:color w:val="000000" w:themeColor="text1"/>
                <w:sz w:val="15"/>
                <w:szCs w:val="15"/>
              </w:rPr>
              <w:t>3.ECU允许改动或使用副厂件。但必须通过原厂连接件连接。</w:t>
            </w:r>
          </w:p>
        </w:tc>
      </w:tr>
      <w:tr w:rsidR="00C9270E" w:rsidTr="00504BD7">
        <w:trPr>
          <w:trHeight w:val="706"/>
        </w:trPr>
        <w:tc>
          <w:tcPr>
            <w:tcW w:w="576"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140" w:type="dxa"/>
            <w:gridSpan w:val="2"/>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坐式</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限制级</w:t>
            </w:r>
          </w:p>
        </w:tc>
        <w:tc>
          <w:tcPr>
            <w:tcW w:w="1584" w:type="dxa"/>
            <w:vMerge/>
            <w:vAlign w:val="center"/>
          </w:tcPr>
          <w:p w:rsidR="00C9270E" w:rsidRDefault="00C9270E">
            <w:pPr>
              <w:rPr>
                <w:rFonts w:asciiTheme="minorEastAsia" w:hAnsiTheme="minorEastAsia"/>
                <w:bCs/>
                <w:snapToGrid w:val="0"/>
                <w:color w:val="000000" w:themeColor="text1"/>
                <w:sz w:val="18"/>
                <w:szCs w:val="18"/>
              </w:rPr>
            </w:pPr>
          </w:p>
        </w:tc>
        <w:tc>
          <w:tcPr>
            <w:tcW w:w="1872" w:type="dxa"/>
            <w:vMerge/>
            <w:vAlign w:val="center"/>
          </w:tcPr>
          <w:p w:rsidR="00C9270E" w:rsidRDefault="00C9270E">
            <w:pPr>
              <w:rPr>
                <w:rFonts w:asciiTheme="minorEastAsia" w:hAnsiTheme="minorEastAsia"/>
                <w:bCs/>
                <w:snapToGrid w:val="0"/>
                <w:color w:val="000000" w:themeColor="text1"/>
                <w:sz w:val="18"/>
                <w:szCs w:val="18"/>
              </w:rPr>
            </w:pPr>
          </w:p>
        </w:tc>
        <w:tc>
          <w:tcPr>
            <w:tcW w:w="1836" w:type="dxa"/>
            <w:vMerge/>
            <w:vAlign w:val="center"/>
          </w:tcPr>
          <w:p w:rsidR="00C9270E" w:rsidRDefault="00C9270E">
            <w:pPr>
              <w:rPr>
                <w:rFonts w:asciiTheme="minorEastAsia" w:hAnsiTheme="minorEastAsia"/>
                <w:bCs/>
                <w:snapToGrid w:val="0"/>
                <w:color w:val="000000" w:themeColor="text1"/>
                <w:sz w:val="15"/>
                <w:szCs w:val="15"/>
              </w:rPr>
            </w:pPr>
          </w:p>
        </w:tc>
        <w:tc>
          <w:tcPr>
            <w:tcW w:w="1800" w:type="dxa"/>
            <w:vMerge/>
            <w:vAlign w:val="center"/>
          </w:tcPr>
          <w:p w:rsidR="00C9270E" w:rsidRDefault="00C9270E">
            <w:pPr>
              <w:rPr>
                <w:rFonts w:asciiTheme="minorEastAsia" w:hAnsiTheme="minorEastAsia"/>
                <w:bCs/>
                <w:snapToGrid w:val="0"/>
                <w:color w:val="000000" w:themeColor="text1"/>
                <w:sz w:val="18"/>
                <w:szCs w:val="18"/>
              </w:rPr>
            </w:pPr>
          </w:p>
        </w:tc>
      </w:tr>
      <w:tr w:rsidR="00C9270E" w:rsidTr="00504BD7">
        <w:trPr>
          <w:trHeight w:val="58"/>
        </w:trPr>
        <w:tc>
          <w:tcPr>
            <w:tcW w:w="576" w:type="dxa"/>
            <w:vMerge w:val="restart"/>
            <w:vAlign w:val="center"/>
          </w:tcPr>
          <w:p w:rsidR="00C9270E" w:rsidRDefault="003D20D0">
            <w:pPr>
              <w:jc w:val="center"/>
              <w:rPr>
                <w:rFonts w:ascii="华文仿宋" w:eastAsia="华文仿宋" w:hAnsi="华文仿宋" w:cs="华文仿宋"/>
                <w:color w:val="000000"/>
                <w:kern w:val="0"/>
                <w:sz w:val="32"/>
                <w:szCs w:val="32"/>
                <w:lang w:bidi="ar"/>
              </w:rPr>
            </w:pPr>
            <w:r>
              <w:rPr>
                <w:rFonts w:ascii="华文仿宋" w:eastAsia="华文仿宋" w:hAnsi="华文仿宋" w:cs="华文仿宋" w:hint="eastAsia"/>
                <w:color w:val="000000"/>
                <w:kern w:val="0"/>
                <w:sz w:val="32"/>
                <w:szCs w:val="32"/>
                <w:lang w:bidi="ar"/>
              </w:rPr>
              <w:t>4</w:t>
            </w:r>
          </w:p>
        </w:tc>
        <w:tc>
          <w:tcPr>
            <w:tcW w:w="1140" w:type="dxa"/>
            <w:gridSpan w:val="2"/>
            <w:vAlign w:val="center"/>
          </w:tcPr>
          <w:p w:rsidR="00C9270E" w:rsidRDefault="003D20D0">
            <w:pPr>
              <w:jc w:val="center"/>
              <w:rPr>
                <w:bCs/>
                <w:szCs w:val="21"/>
              </w:rPr>
            </w:pPr>
            <w:r>
              <w:rPr>
                <w:rFonts w:hint="eastAsia"/>
                <w:bCs/>
                <w:szCs w:val="21"/>
              </w:rPr>
              <w:t>Endurance</w:t>
            </w:r>
          </w:p>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Runabout</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Open</w:t>
            </w:r>
          </w:p>
        </w:tc>
        <w:tc>
          <w:tcPr>
            <w:tcW w:w="1584"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4冲：≤2000cc</w:t>
            </w:r>
          </w:p>
        </w:tc>
        <w:tc>
          <w:tcPr>
            <w:tcW w:w="1872" w:type="dxa"/>
            <w:vMerge w:val="restart"/>
            <w:vAlign w:val="center"/>
          </w:tcPr>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艇长≤394cm</w:t>
            </w:r>
          </w:p>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艇宽＞96.5cm</w:t>
            </w:r>
          </w:p>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净重＞272kg</w:t>
            </w:r>
          </w:p>
          <w:p w:rsidR="00C9270E" w:rsidRDefault="003D20D0">
            <w:pPr>
              <w:spacing w:line="240" w:lineRule="exact"/>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最大减幅 -15.88kg</w:t>
            </w:r>
          </w:p>
        </w:tc>
        <w:tc>
          <w:tcPr>
            <w:tcW w:w="1836" w:type="dxa"/>
            <w:vMerge w:val="restart"/>
            <w:vAlign w:val="center"/>
          </w:tcPr>
          <w:p w:rsidR="00C9270E" w:rsidRDefault="003D20D0">
            <w:pPr>
              <w:rPr>
                <w:rFonts w:asciiTheme="minorEastAsia" w:hAnsiTheme="minorEastAsia"/>
                <w:bCs/>
                <w:snapToGrid w:val="0"/>
                <w:color w:val="000000" w:themeColor="text1"/>
                <w:sz w:val="15"/>
                <w:szCs w:val="15"/>
              </w:rPr>
            </w:pPr>
            <w:r>
              <w:rPr>
                <w:rFonts w:asciiTheme="minorEastAsia" w:hAnsiTheme="minorEastAsia" w:hint="eastAsia"/>
                <w:bCs/>
                <w:snapToGrid w:val="0"/>
                <w:color w:val="000000" w:themeColor="text1"/>
                <w:sz w:val="15"/>
                <w:szCs w:val="15"/>
              </w:rPr>
              <w:t>详细参考IJSBA技术</w:t>
            </w:r>
            <w:proofErr w:type="gramStart"/>
            <w:r>
              <w:rPr>
                <w:rFonts w:asciiTheme="minorEastAsia" w:hAnsiTheme="minorEastAsia" w:hint="eastAsia"/>
                <w:bCs/>
                <w:snapToGrid w:val="0"/>
                <w:color w:val="000000" w:themeColor="text1"/>
                <w:sz w:val="15"/>
                <w:szCs w:val="15"/>
              </w:rPr>
              <w:t>规</w:t>
            </w:r>
            <w:proofErr w:type="gramEnd"/>
            <w:r>
              <w:rPr>
                <w:rFonts w:asciiTheme="minorEastAsia" w:hAnsiTheme="minorEastAsia" w:hint="eastAsia"/>
                <w:bCs/>
                <w:snapToGrid w:val="0"/>
                <w:color w:val="000000" w:themeColor="text1"/>
                <w:sz w:val="15"/>
                <w:szCs w:val="15"/>
              </w:rPr>
              <w:t>RUNABOUT8.1OPENCLASSCOMPETITION</w:t>
            </w:r>
          </w:p>
        </w:tc>
        <w:tc>
          <w:tcPr>
            <w:tcW w:w="1800" w:type="dxa"/>
            <w:vMerge w:val="restart"/>
            <w:vAlign w:val="center"/>
          </w:tcPr>
          <w:p w:rsidR="00C9270E" w:rsidRDefault="003D20D0">
            <w:pPr>
              <w:rPr>
                <w:rFonts w:asciiTheme="minorEastAsia" w:hAnsiTheme="minorEastAsia"/>
                <w:bCs/>
                <w:snapToGrid w:val="0"/>
                <w:color w:val="000000" w:themeColor="text1"/>
                <w:sz w:val="18"/>
                <w:szCs w:val="18"/>
              </w:rPr>
            </w:pPr>
            <w:r>
              <w:rPr>
                <w:rFonts w:asciiTheme="minorEastAsia" w:hAnsiTheme="minorEastAsia" w:hint="eastAsia"/>
                <w:bCs/>
                <w:snapToGrid w:val="0"/>
                <w:color w:val="000000" w:themeColor="text1"/>
                <w:sz w:val="18"/>
                <w:szCs w:val="18"/>
              </w:rPr>
              <w:t>IJSBA坐式公开级标准</w:t>
            </w:r>
          </w:p>
        </w:tc>
      </w:tr>
      <w:tr w:rsidR="00C9270E">
        <w:tc>
          <w:tcPr>
            <w:tcW w:w="576"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140" w:type="dxa"/>
            <w:gridSpan w:val="2"/>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坐式耐力</w:t>
            </w:r>
          </w:p>
        </w:tc>
        <w:tc>
          <w:tcPr>
            <w:tcW w:w="1176" w:type="dxa"/>
            <w:vAlign w:val="center"/>
          </w:tcPr>
          <w:p w:rsidR="00C9270E" w:rsidRDefault="003D20D0">
            <w:pPr>
              <w:jc w:val="center"/>
              <w:rPr>
                <w:rFonts w:ascii="华文仿宋" w:eastAsia="华文仿宋" w:hAnsi="华文仿宋" w:cs="华文仿宋"/>
                <w:bCs/>
                <w:color w:val="000000"/>
                <w:kern w:val="0"/>
                <w:sz w:val="32"/>
                <w:szCs w:val="32"/>
                <w:lang w:bidi="ar"/>
              </w:rPr>
            </w:pPr>
            <w:r>
              <w:rPr>
                <w:rFonts w:hint="eastAsia"/>
                <w:bCs/>
                <w:szCs w:val="21"/>
              </w:rPr>
              <w:t>公开</w:t>
            </w:r>
          </w:p>
        </w:tc>
        <w:tc>
          <w:tcPr>
            <w:tcW w:w="1584"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872"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836" w:type="dxa"/>
            <w:vMerge/>
            <w:vAlign w:val="center"/>
          </w:tcPr>
          <w:p w:rsidR="00C9270E" w:rsidRDefault="00C9270E">
            <w:pPr>
              <w:jc w:val="center"/>
              <w:rPr>
                <w:rFonts w:ascii="华文仿宋" w:eastAsia="华文仿宋" w:hAnsi="华文仿宋" w:cs="华文仿宋"/>
                <w:color w:val="000000"/>
                <w:kern w:val="0"/>
                <w:sz w:val="32"/>
                <w:szCs w:val="32"/>
                <w:lang w:bidi="ar"/>
              </w:rPr>
            </w:pPr>
          </w:p>
        </w:tc>
        <w:tc>
          <w:tcPr>
            <w:tcW w:w="1800" w:type="dxa"/>
            <w:vMerge/>
            <w:vAlign w:val="center"/>
          </w:tcPr>
          <w:p w:rsidR="00C9270E" w:rsidRDefault="00C9270E">
            <w:pPr>
              <w:jc w:val="center"/>
              <w:rPr>
                <w:rFonts w:ascii="华文仿宋" w:eastAsia="华文仿宋" w:hAnsi="华文仿宋" w:cs="华文仿宋"/>
                <w:color w:val="000000"/>
                <w:kern w:val="0"/>
                <w:sz w:val="32"/>
                <w:szCs w:val="32"/>
                <w:lang w:bidi="ar"/>
              </w:rPr>
            </w:pPr>
          </w:p>
        </w:tc>
      </w:tr>
      <w:tr w:rsidR="00C9270E">
        <w:tc>
          <w:tcPr>
            <w:tcW w:w="852" w:type="dxa"/>
            <w:gridSpan w:val="2"/>
            <w:vAlign w:val="center"/>
          </w:tcPr>
          <w:p w:rsidR="00C9270E" w:rsidRDefault="003D20D0">
            <w:pPr>
              <w:jc w:val="center"/>
              <w:rPr>
                <w:rFonts w:ascii="华文仿宋" w:eastAsia="华文仿宋" w:hAnsi="华文仿宋" w:cs="华文仿宋"/>
                <w:color w:val="000000"/>
                <w:kern w:val="0"/>
                <w:sz w:val="32"/>
                <w:szCs w:val="32"/>
                <w:lang w:bidi="ar"/>
              </w:rPr>
            </w:pPr>
            <w:r>
              <w:rPr>
                <w:rFonts w:hint="eastAsia"/>
                <w:b/>
                <w:szCs w:val="21"/>
              </w:rPr>
              <w:t>备</w:t>
            </w:r>
            <w:r>
              <w:rPr>
                <w:rFonts w:hint="eastAsia"/>
                <w:b/>
                <w:szCs w:val="21"/>
              </w:rPr>
              <w:t xml:space="preserve"> </w:t>
            </w:r>
            <w:r>
              <w:rPr>
                <w:rFonts w:hint="eastAsia"/>
                <w:b/>
                <w:szCs w:val="21"/>
              </w:rPr>
              <w:t>注</w:t>
            </w:r>
          </w:p>
        </w:tc>
        <w:tc>
          <w:tcPr>
            <w:tcW w:w="9132" w:type="dxa"/>
            <w:gridSpan w:val="6"/>
            <w:vAlign w:val="center"/>
          </w:tcPr>
          <w:p w:rsidR="00C9270E" w:rsidRDefault="003D20D0">
            <w:pPr>
              <w:rPr>
                <w:rFonts w:ascii="Arial" w:hAnsi="Arial"/>
                <w:b/>
                <w:snapToGrid w:val="0"/>
                <w:szCs w:val="21"/>
              </w:rPr>
            </w:pPr>
            <w:r>
              <w:rPr>
                <w:rFonts w:ascii="Arial" w:hAnsi="Arial" w:hint="eastAsia"/>
                <w:b/>
                <w:snapToGrid w:val="0"/>
                <w:szCs w:val="21"/>
              </w:rPr>
              <w:t>1</w:t>
            </w:r>
            <w:r>
              <w:rPr>
                <w:rFonts w:ascii="Arial" w:hAnsi="Arial" w:hint="eastAsia"/>
                <w:b/>
                <w:snapToGrid w:val="0"/>
                <w:szCs w:val="21"/>
              </w:rPr>
              <w:t>、</w:t>
            </w:r>
            <w:r>
              <w:rPr>
                <w:rFonts w:hint="eastAsia"/>
                <w:b/>
                <w:szCs w:val="21"/>
              </w:rPr>
              <w:t>亚运会将采用</w:t>
            </w:r>
            <w:r>
              <w:rPr>
                <w:rFonts w:hint="eastAsia"/>
                <w:b/>
                <w:szCs w:val="21"/>
              </w:rPr>
              <w:t>IJSBA</w:t>
            </w:r>
            <w:r>
              <w:rPr>
                <w:rFonts w:hint="eastAsia"/>
                <w:b/>
                <w:szCs w:val="21"/>
              </w:rPr>
              <w:t>竞赛规则，以</w:t>
            </w:r>
            <w:r>
              <w:rPr>
                <w:rFonts w:hint="eastAsia"/>
                <w:b/>
                <w:szCs w:val="21"/>
              </w:rPr>
              <w:t>IJSBA</w:t>
            </w:r>
            <w:r>
              <w:rPr>
                <w:rFonts w:hint="eastAsia"/>
                <w:b/>
                <w:szCs w:val="21"/>
              </w:rPr>
              <w:t>英文版为准。</w:t>
            </w:r>
          </w:p>
          <w:p w:rsidR="00C9270E" w:rsidRDefault="003D20D0">
            <w:pPr>
              <w:rPr>
                <w:rFonts w:ascii="华文仿宋" w:eastAsia="华文仿宋" w:hAnsi="华文仿宋" w:cs="华文仿宋"/>
                <w:color w:val="000000"/>
                <w:kern w:val="0"/>
                <w:sz w:val="32"/>
                <w:szCs w:val="32"/>
                <w:lang w:bidi="ar"/>
              </w:rPr>
            </w:pPr>
            <w:r>
              <w:rPr>
                <w:rFonts w:hint="eastAsia"/>
                <w:b/>
                <w:szCs w:val="21"/>
              </w:rPr>
              <w:t>2</w:t>
            </w:r>
            <w:r>
              <w:rPr>
                <w:rFonts w:hint="eastAsia"/>
                <w:b/>
                <w:szCs w:val="21"/>
              </w:rPr>
              <w:t>、</w:t>
            </w:r>
            <w:r>
              <w:rPr>
                <w:rFonts w:ascii="Arial" w:hAnsi="Arial" w:hint="eastAsia"/>
                <w:b/>
                <w:snapToGrid w:val="0"/>
                <w:szCs w:val="21"/>
              </w:rPr>
              <w:t>所有的水上摩托必须严格保持原厂级配置，除非有竞赛规则特别许可的替代或改装，规则要求之外的任何改装或更换都不允许。</w:t>
            </w:r>
          </w:p>
        </w:tc>
      </w:tr>
    </w:tbl>
    <w:p w:rsidR="00C9270E" w:rsidRPr="00804639" w:rsidRDefault="003D20D0">
      <w:p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（三）器材检查：赛前将进行器材和装备检查，符合要求方可参赛，不符合规定要求的器材不能参加比赛。赛后将进行检查或抽查，违反规则规定者将取消比赛资格和比赛成绩。</w:t>
      </w:r>
    </w:p>
    <w:p w:rsidR="00C9270E" w:rsidRPr="00804639" w:rsidRDefault="003D20D0">
      <w:p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lastRenderedPageBreak/>
        <w:t>六、比赛办法：</w:t>
      </w:r>
    </w:p>
    <w:p w:rsidR="00C9270E" w:rsidRDefault="003D20D0">
      <w:pPr>
        <w:ind w:firstLineChars="200" w:firstLine="640"/>
        <w:jc w:val="left"/>
        <w:rPr>
          <w:rFonts w:ascii="仿宋" w:eastAsia="仿宋" w:hAnsi="仿宋" w:cs="华文仿宋" w:hint="eastAsia"/>
          <w:color w:val="000000"/>
          <w:kern w:val="0"/>
          <w:sz w:val="32"/>
          <w:szCs w:val="32"/>
          <w:lang w:bidi="ar"/>
        </w:rPr>
      </w:pPr>
      <w:r w:rsidRPr="00804639">
        <w:rPr>
          <w:rFonts w:ascii="仿宋" w:eastAsia="仿宋" w:hAnsi="仿宋" w:cs="华文仿宋" w:hint="eastAsia"/>
          <w:color w:val="000000"/>
          <w:kern w:val="0"/>
          <w:sz w:val="32"/>
          <w:szCs w:val="32"/>
          <w:lang w:bidi="ar"/>
        </w:rPr>
        <w:t>（一）所有场地赛项目均由一轮排位赛和四轮正赛组成。场地大小为3公里左右，每轮正赛比赛时间预计为10～15分钟。排位赛为单艇出发，排位赛取前16名进入正赛。排位赛的出发顺序随机抽签，排位赛成绩决定正赛第一轮选择出发位置的顺序，其它轮次根据前一轮的成绩确定。所有正赛得分相加作为最终成绩，如得分和相同，则以最好名次确定，如再相同，则以最后一轮名次确定最终名次。</w:t>
      </w:r>
    </w:p>
    <w:p w:rsidR="00804639" w:rsidRPr="00804639" w:rsidRDefault="00804639">
      <w:pPr>
        <w:ind w:firstLineChars="200" w:firstLine="640"/>
        <w:jc w:val="left"/>
        <w:rPr>
          <w:rFonts w:ascii="仿宋" w:eastAsia="仿宋" w:hAnsi="仿宋" w:cs="华文仿宋"/>
          <w:color w:val="000000"/>
          <w:kern w:val="0"/>
          <w:sz w:val="32"/>
          <w:szCs w:val="32"/>
          <w:lang w:bidi="ar"/>
        </w:rPr>
      </w:pP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420"/>
        <w:gridCol w:w="1420"/>
        <w:gridCol w:w="1420"/>
        <w:gridCol w:w="1420"/>
        <w:gridCol w:w="1421"/>
        <w:gridCol w:w="1421"/>
      </w:tblGrid>
      <w:tr w:rsidR="00C9270E">
        <w:trPr>
          <w:jc w:val="center"/>
        </w:trPr>
        <w:tc>
          <w:tcPr>
            <w:tcW w:w="1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排名</w:t>
            </w:r>
          </w:p>
        </w:tc>
        <w:tc>
          <w:tcPr>
            <w:tcW w:w="1420" w:type="dxa"/>
            <w:tcBorders>
              <w:top w:val="single" w:sz="8" w:space="0" w:color="auto"/>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分数</w:t>
            </w:r>
          </w:p>
        </w:tc>
        <w:tc>
          <w:tcPr>
            <w:tcW w:w="1420" w:type="dxa"/>
            <w:tcBorders>
              <w:top w:val="single" w:sz="8" w:space="0" w:color="auto"/>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排名</w:t>
            </w:r>
          </w:p>
        </w:tc>
        <w:tc>
          <w:tcPr>
            <w:tcW w:w="1420" w:type="dxa"/>
            <w:tcBorders>
              <w:top w:val="single" w:sz="8" w:space="0" w:color="auto"/>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分数</w:t>
            </w:r>
          </w:p>
        </w:tc>
        <w:tc>
          <w:tcPr>
            <w:tcW w:w="1421" w:type="dxa"/>
            <w:tcBorders>
              <w:top w:val="single" w:sz="8" w:space="0" w:color="auto"/>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排名</w:t>
            </w:r>
          </w:p>
        </w:tc>
        <w:tc>
          <w:tcPr>
            <w:tcW w:w="1421" w:type="dxa"/>
            <w:tcBorders>
              <w:top w:val="single" w:sz="8" w:space="0" w:color="auto"/>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分数</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60</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8</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30</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15</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14</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2</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53</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9</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27</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16</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12</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3</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48</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10</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24</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17</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10</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4</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43</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11</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22</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18</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8</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5</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39</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12</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20</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19</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6</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6</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36</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13</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18</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20</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4</w:t>
            </w:r>
          </w:p>
        </w:tc>
      </w:tr>
      <w:tr w:rsidR="00C9270E">
        <w:trPr>
          <w:jc w:val="center"/>
        </w:trPr>
        <w:tc>
          <w:tcPr>
            <w:tcW w:w="1420" w:type="dxa"/>
            <w:tcBorders>
              <w:top w:val="nil"/>
              <w:left w:val="single" w:sz="8" w:space="0" w:color="auto"/>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7</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33</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14</w:t>
            </w:r>
          </w:p>
        </w:tc>
        <w:tc>
          <w:tcPr>
            <w:tcW w:w="1420"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16</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 </w:t>
            </w:r>
          </w:p>
        </w:tc>
        <w:tc>
          <w:tcPr>
            <w:tcW w:w="1421" w:type="dxa"/>
            <w:tcBorders>
              <w:top w:val="nil"/>
              <w:left w:val="nil"/>
              <w:bottom w:val="single" w:sz="8" w:space="0" w:color="auto"/>
              <w:right w:val="single" w:sz="8" w:space="0" w:color="auto"/>
            </w:tcBorders>
            <w:tcMar>
              <w:left w:w="108" w:type="dxa"/>
              <w:right w:w="108" w:type="dxa"/>
            </w:tcMar>
            <w:vAlign w:val="center"/>
          </w:tcPr>
          <w:p w:rsidR="00C9270E" w:rsidRDefault="003D20D0">
            <w:pPr>
              <w:widowControl/>
              <w:spacing w:before="100" w:beforeAutospacing="1" w:after="100" w:afterAutospacing="1" w:line="20" w:lineRule="atLeast"/>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bidi="ar"/>
              </w:rPr>
              <w:t> </w:t>
            </w:r>
          </w:p>
        </w:tc>
      </w:tr>
    </w:tbl>
    <w:p w:rsidR="00C9270E" w:rsidRPr="00804639" w:rsidRDefault="003D20D0">
      <w:pPr>
        <w:numPr>
          <w:ilvl w:val="0"/>
          <w:numId w:val="5"/>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拉力赛由一轮排位赛和三轮正赛组成。场地大小为6.5公里左右，每轮正赛比赛时间预计为35～45分钟。其它竞赛方法与场地赛相同。</w:t>
      </w:r>
    </w:p>
    <w:p w:rsidR="00716A31" w:rsidRPr="00804639" w:rsidRDefault="00716A31" w:rsidP="00716A31">
      <w:pPr>
        <w:jc w:val="left"/>
        <w:rPr>
          <w:rFonts w:ascii="仿宋" w:eastAsia="仿宋" w:hAnsi="仿宋" w:cs="华文仿宋"/>
          <w:color w:val="000000"/>
          <w:kern w:val="0"/>
          <w:sz w:val="32"/>
          <w:szCs w:val="32"/>
          <w:lang w:bidi="ar"/>
        </w:rPr>
      </w:pPr>
    </w:p>
    <w:tbl>
      <w:tblPr>
        <w:tblStyle w:val="a6"/>
        <w:tblW w:w="0" w:type="auto"/>
        <w:jc w:val="center"/>
        <w:tblLook w:val="04A0" w:firstRow="1" w:lastRow="0" w:firstColumn="1" w:lastColumn="0" w:noHBand="0" w:noVBand="1"/>
      </w:tblPr>
      <w:tblGrid>
        <w:gridCol w:w="1420"/>
        <w:gridCol w:w="1420"/>
        <w:gridCol w:w="1420"/>
        <w:gridCol w:w="1420"/>
        <w:gridCol w:w="1421"/>
        <w:gridCol w:w="1421"/>
      </w:tblGrid>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lastRenderedPageBreak/>
              <w:t>排名</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分数</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排名</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分数</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排名</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分数</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400</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8</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340</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15</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312</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2</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380</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9</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336</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16</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308</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368</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10</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332</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17</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304</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4</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360</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11</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328</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18</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300</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5</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352</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12</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324</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19</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296</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6</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348</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13</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320</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20</w:t>
            </w:r>
          </w:p>
        </w:tc>
        <w:tc>
          <w:tcPr>
            <w:tcW w:w="1421"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292</w:t>
            </w:r>
          </w:p>
        </w:tc>
      </w:tr>
      <w:tr w:rsidR="00716A31" w:rsidRPr="00716A31" w:rsidTr="008F03D9">
        <w:trPr>
          <w:jc w:val="center"/>
        </w:trPr>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7</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344</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14</w:t>
            </w:r>
          </w:p>
        </w:tc>
        <w:tc>
          <w:tcPr>
            <w:tcW w:w="1420" w:type="dxa"/>
            <w:vAlign w:val="center"/>
          </w:tcPr>
          <w:p w:rsidR="00716A31" w:rsidRPr="00716A31" w:rsidRDefault="00716A31" w:rsidP="008F03D9">
            <w:pPr>
              <w:rPr>
                <w:rFonts w:ascii="仿宋" w:eastAsia="仿宋" w:hAnsi="仿宋" w:cs="MS Mincho"/>
                <w:sz w:val="32"/>
                <w:szCs w:val="32"/>
              </w:rPr>
            </w:pPr>
            <w:r w:rsidRPr="00716A31">
              <w:rPr>
                <w:rFonts w:ascii="仿宋" w:eastAsia="仿宋" w:hAnsi="仿宋" w:cs="MS Mincho" w:hint="eastAsia"/>
                <w:sz w:val="32"/>
                <w:szCs w:val="32"/>
              </w:rPr>
              <w:t>316</w:t>
            </w:r>
          </w:p>
        </w:tc>
        <w:tc>
          <w:tcPr>
            <w:tcW w:w="1421" w:type="dxa"/>
            <w:vAlign w:val="center"/>
          </w:tcPr>
          <w:p w:rsidR="00716A31" w:rsidRPr="00716A31" w:rsidRDefault="00716A31" w:rsidP="008F03D9">
            <w:pPr>
              <w:rPr>
                <w:rFonts w:ascii="仿宋" w:eastAsia="仿宋" w:hAnsi="仿宋" w:cs="MS Mincho"/>
                <w:sz w:val="32"/>
                <w:szCs w:val="32"/>
              </w:rPr>
            </w:pPr>
          </w:p>
        </w:tc>
        <w:tc>
          <w:tcPr>
            <w:tcW w:w="1421" w:type="dxa"/>
            <w:vAlign w:val="center"/>
          </w:tcPr>
          <w:p w:rsidR="00716A31" w:rsidRPr="00716A31" w:rsidRDefault="00716A31" w:rsidP="008F03D9">
            <w:pPr>
              <w:rPr>
                <w:rFonts w:ascii="仿宋" w:eastAsia="仿宋" w:hAnsi="仿宋" w:cs="MS Mincho"/>
                <w:sz w:val="32"/>
                <w:szCs w:val="32"/>
              </w:rPr>
            </w:pPr>
          </w:p>
        </w:tc>
      </w:tr>
    </w:tbl>
    <w:p w:rsidR="00716A31" w:rsidRDefault="00716A31" w:rsidP="00716A31">
      <w:pPr>
        <w:jc w:val="left"/>
        <w:rPr>
          <w:rFonts w:ascii="华文仿宋" w:eastAsia="华文仿宋" w:hAnsi="华文仿宋" w:cs="华文仿宋"/>
          <w:color w:val="000000"/>
          <w:kern w:val="0"/>
          <w:sz w:val="32"/>
          <w:szCs w:val="32"/>
          <w:lang w:bidi="ar"/>
        </w:rPr>
      </w:pPr>
    </w:p>
    <w:p w:rsidR="00C9270E" w:rsidRPr="00804639" w:rsidRDefault="003D20D0" w:rsidP="00804639">
      <w:pPr>
        <w:numPr>
          <w:ilvl w:val="0"/>
          <w:numId w:val="5"/>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所有项目采用沙滩起航，坐式水上</w:t>
      </w:r>
      <w:proofErr w:type="gramStart"/>
      <w:r w:rsidRPr="00804639">
        <w:rPr>
          <w:rFonts w:ascii="仿宋" w:eastAsia="仿宋" w:hAnsi="仿宋" w:cs="华文仿宋" w:hint="eastAsia"/>
          <w:color w:val="000000"/>
          <w:kern w:val="0"/>
          <w:sz w:val="32"/>
          <w:szCs w:val="32"/>
          <w:lang w:bidi="ar"/>
        </w:rPr>
        <w:t>摩托发艇时</w:t>
      </w:r>
      <w:proofErr w:type="gramEnd"/>
      <w:r w:rsidRPr="00804639">
        <w:rPr>
          <w:rFonts w:ascii="仿宋" w:eastAsia="仿宋" w:hAnsi="仿宋" w:cs="华文仿宋" w:hint="eastAsia"/>
          <w:color w:val="000000"/>
          <w:kern w:val="0"/>
          <w:sz w:val="32"/>
          <w:szCs w:val="32"/>
          <w:lang w:bidi="ar"/>
        </w:rPr>
        <w:t>允许有</w:t>
      </w:r>
      <w:proofErr w:type="gramStart"/>
      <w:r w:rsidRPr="00804639">
        <w:rPr>
          <w:rFonts w:ascii="仿宋" w:eastAsia="仿宋" w:hAnsi="仿宋" w:cs="华文仿宋" w:hint="eastAsia"/>
          <w:color w:val="000000"/>
          <w:kern w:val="0"/>
          <w:sz w:val="32"/>
          <w:szCs w:val="32"/>
          <w:lang w:bidi="ar"/>
        </w:rPr>
        <w:t>两名扶艇人员</w:t>
      </w:r>
      <w:proofErr w:type="gramEnd"/>
      <w:r w:rsidRPr="00804639">
        <w:rPr>
          <w:rFonts w:ascii="仿宋" w:eastAsia="仿宋" w:hAnsi="仿宋" w:cs="华文仿宋" w:hint="eastAsia"/>
          <w:color w:val="000000"/>
          <w:kern w:val="0"/>
          <w:sz w:val="32"/>
          <w:szCs w:val="32"/>
          <w:lang w:bidi="ar"/>
        </w:rPr>
        <w:t>。立式水上</w:t>
      </w:r>
      <w:proofErr w:type="gramStart"/>
      <w:r w:rsidRPr="00804639">
        <w:rPr>
          <w:rFonts w:ascii="仿宋" w:eastAsia="仿宋" w:hAnsi="仿宋" w:cs="华文仿宋" w:hint="eastAsia"/>
          <w:color w:val="000000"/>
          <w:kern w:val="0"/>
          <w:sz w:val="32"/>
          <w:szCs w:val="32"/>
          <w:lang w:bidi="ar"/>
        </w:rPr>
        <w:t>摩托发艇时</w:t>
      </w:r>
      <w:proofErr w:type="gramEnd"/>
      <w:r w:rsidRPr="00804639">
        <w:rPr>
          <w:rFonts w:ascii="仿宋" w:eastAsia="仿宋" w:hAnsi="仿宋" w:cs="华文仿宋" w:hint="eastAsia"/>
          <w:color w:val="000000"/>
          <w:kern w:val="0"/>
          <w:sz w:val="32"/>
          <w:szCs w:val="32"/>
          <w:lang w:bidi="ar"/>
        </w:rPr>
        <w:t>只允许有</w:t>
      </w:r>
      <w:proofErr w:type="gramStart"/>
      <w:r w:rsidRPr="00804639">
        <w:rPr>
          <w:rFonts w:ascii="仿宋" w:eastAsia="仿宋" w:hAnsi="仿宋" w:cs="华文仿宋" w:hint="eastAsia"/>
          <w:color w:val="000000"/>
          <w:kern w:val="0"/>
          <w:sz w:val="32"/>
          <w:szCs w:val="32"/>
          <w:lang w:bidi="ar"/>
        </w:rPr>
        <w:t>一名扶艇人员</w:t>
      </w:r>
      <w:proofErr w:type="gramEnd"/>
      <w:r w:rsidRPr="00804639">
        <w:rPr>
          <w:rFonts w:ascii="仿宋" w:eastAsia="仿宋" w:hAnsi="仿宋" w:cs="华文仿宋" w:hint="eastAsia"/>
          <w:color w:val="000000"/>
          <w:kern w:val="0"/>
          <w:sz w:val="32"/>
          <w:szCs w:val="32"/>
          <w:lang w:bidi="ar"/>
        </w:rPr>
        <w:t>，且运动员必须站立在水中。</w:t>
      </w:r>
    </w:p>
    <w:p w:rsidR="00C9270E" w:rsidRPr="00804639" w:rsidRDefault="003D20D0" w:rsidP="00804639">
      <w:pPr>
        <w:numPr>
          <w:ilvl w:val="0"/>
          <w:numId w:val="5"/>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如因天气原因或其它不可抗力因素影响，所有赛程无法正常完成，将以实际完成的正赛轮次作为最终成绩。如果没有进行正赛，将以排位赛成绩作为最终成绩。</w:t>
      </w:r>
    </w:p>
    <w:p w:rsidR="00C9270E" w:rsidRPr="00804639" w:rsidRDefault="003D20D0" w:rsidP="00804639">
      <w:pPr>
        <w:numPr>
          <w:ilvl w:val="0"/>
          <w:numId w:val="6"/>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比赛期间出现严重犯规违反规则和体育道德的特别处罚</w:t>
      </w:r>
    </w:p>
    <w:p w:rsidR="00C9270E" w:rsidRPr="00804639" w:rsidRDefault="003D20D0" w:rsidP="00804639">
      <w:pPr>
        <w:numPr>
          <w:ilvl w:val="0"/>
          <w:numId w:val="7"/>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本次摩托艇比赛为个人赛，在比赛过程中的任何团队配合都属于故意犯规行为和违反体育道德行为，其中包括任何通过影响他人和本人不当行为使本队队员受益的行为。上述行为一经查实，将视其情节严重程度，对该轮本队</w:t>
      </w:r>
      <w:r w:rsidRPr="00804639">
        <w:rPr>
          <w:rFonts w:ascii="仿宋" w:eastAsia="仿宋" w:hAnsi="仿宋" w:cs="华文仿宋" w:hint="eastAsia"/>
          <w:color w:val="000000"/>
          <w:kern w:val="0"/>
          <w:sz w:val="32"/>
          <w:szCs w:val="32"/>
          <w:lang w:bidi="ar"/>
        </w:rPr>
        <w:lastRenderedPageBreak/>
        <w:t>成绩最好的队员给予成绩减一圈、取消该轮比赛成绩或取消比赛资格的处罚。</w:t>
      </w:r>
    </w:p>
    <w:p w:rsidR="00C9270E" w:rsidRPr="00804639" w:rsidRDefault="003D20D0" w:rsidP="00804639">
      <w:pPr>
        <w:numPr>
          <w:ilvl w:val="0"/>
          <w:numId w:val="7"/>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比赛中发生故意冲撞等严重违反规则和体育道德的行为，取消犯规运动员所在单位在该项目上的所有运动员的比赛资格。</w:t>
      </w:r>
    </w:p>
    <w:p w:rsidR="00C9270E" w:rsidRPr="00804639" w:rsidRDefault="003D20D0" w:rsidP="00804639">
      <w:pPr>
        <w:numPr>
          <w:ilvl w:val="0"/>
          <w:numId w:val="7"/>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在陆地上任何违背体育道德行为或其它不文明行为，将视其情节严重程度，对涉事运动员给予单轮成绩减一圈、取消单轮比赛成绩或取消比赛资格的处罚。</w:t>
      </w:r>
    </w:p>
    <w:p w:rsidR="00C9270E" w:rsidRPr="00804639" w:rsidRDefault="003D20D0" w:rsidP="00804639">
      <w:pPr>
        <w:numPr>
          <w:ilvl w:val="0"/>
          <w:numId w:val="6"/>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安全规定：按照规则、规程、细则和大会有关规定执行。</w:t>
      </w:r>
    </w:p>
    <w:p w:rsidR="00C9270E" w:rsidRPr="00804639" w:rsidRDefault="003D20D0" w:rsidP="00804639">
      <w:pPr>
        <w:numPr>
          <w:ilvl w:val="0"/>
          <w:numId w:val="6"/>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费用和保险：所用参赛队伍参赛器材、装备和费用自理，组委会将提供优惠价格酒店名单供参赛队选择。每名参赛队员必须办理人身意外伤害保险（保额不得低于</w:t>
      </w:r>
      <w:r w:rsidRPr="00804639">
        <w:rPr>
          <w:rFonts w:ascii="仿宋" w:eastAsia="仿宋" w:hAnsi="仿宋" w:cs="华文仿宋"/>
          <w:color w:val="000000"/>
          <w:kern w:val="0"/>
          <w:sz w:val="32"/>
          <w:szCs w:val="32"/>
          <w:lang w:bidi="ar"/>
        </w:rPr>
        <w:t>50</w:t>
      </w:r>
      <w:r w:rsidRPr="00804639">
        <w:rPr>
          <w:rFonts w:ascii="仿宋" w:eastAsia="仿宋" w:hAnsi="仿宋" w:cs="华文仿宋" w:hint="eastAsia"/>
          <w:color w:val="000000"/>
          <w:kern w:val="0"/>
          <w:sz w:val="32"/>
          <w:szCs w:val="32"/>
          <w:lang w:bidi="ar"/>
        </w:rPr>
        <w:t>万人民币），报到时提交保单复印件，否则不得参赛。</w:t>
      </w:r>
    </w:p>
    <w:p w:rsidR="00C9270E" w:rsidRPr="00804639" w:rsidRDefault="003D20D0" w:rsidP="00804639">
      <w:pPr>
        <w:numPr>
          <w:ilvl w:val="0"/>
          <w:numId w:val="6"/>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比赛选聘的裁判：将聘用政治素质好，业务水平高的裁判担任执法工作。同时，重要裁判岗位如器材技术</w:t>
      </w:r>
      <w:proofErr w:type="gramStart"/>
      <w:r w:rsidRPr="00804639">
        <w:rPr>
          <w:rFonts w:ascii="仿宋" w:eastAsia="仿宋" w:hAnsi="仿宋" w:cs="华文仿宋" w:hint="eastAsia"/>
          <w:color w:val="000000"/>
          <w:kern w:val="0"/>
          <w:sz w:val="32"/>
          <w:szCs w:val="32"/>
          <w:lang w:bidi="ar"/>
        </w:rPr>
        <w:t>检查官</w:t>
      </w:r>
      <w:proofErr w:type="gramEnd"/>
      <w:r w:rsidRPr="00804639">
        <w:rPr>
          <w:rFonts w:ascii="仿宋" w:eastAsia="仿宋" w:hAnsi="仿宋" w:cs="华文仿宋" w:hint="eastAsia"/>
          <w:color w:val="000000"/>
          <w:kern w:val="0"/>
          <w:sz w:val="32"/>
          <w:szCs w:val="32"/>
          <w:lang w:bidi="ar"/>
        </w:rPr>
        <w:t>，将聘请外籍裁判执法，以弥补中方器材技术检查员水平不高的不足，以确保比赛公平公正公开进行。</w:t>
      </w:r>
    </w:p>
    <w:p w:rsidR="00C9270E" w:rsidRPr="00804639" w:rsidRDefault="003D20D0" w:rsidP="00804639">
      <w:pPr>
        <w:numPr>
          <w:ilvl w:val="0"/>
          <w:numId w:val="6"/>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选拔比赛监督小组：将由中心、省市、航校等有关领导和业务骨干人员组成，并在下发裁判聘用通知时公布。</w:t>
      </w:r>
    </w:p>
    <w:p w:rsidR="00C9270E" w:rsidRPr="00804639" w:rsidRDefault="003D20D0" w:rsidP="00804639">
      <w:pPr>
        <w:numPr>
          <w:ilvl w:val="0"/>
          <w:numId w:val="6"/>
        </w:num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报名：请各队将符合条件的选手和人员资料按照</w:t>
      </w:r>
      <w:r w:rsidRPr="00804639">
        <w:rPr>
          <w:rFonts w:ascii="仿宋" w:eastAsia="仿宋" w:hAnsi="仿宋" w:cs="华文仿宋" w:hint="eastAsia"/>
          <w:color w:val="000000"/>
          <w:kern w:val="0"/>
          <w:sz w:val="32"/>
          <w:szCs w:val="32"/>
          <w:lang w:bidi="ar"/>
        </w:rPr>
        <w:lastRenderedPageBreak/>
        <w:t>要求填好报名表于</w:t>
      </w:r>
      <w:r w:rsidRPr="00804639">
        <w:rPr>
          <w:rFonts w:ascii="仿宋" w:eastAsia="仿宋" w:hAnsi="仿宋" w:cs="华文仿宋"/>
          <w:color w:val="000000"/>
          <w:kern w:val="0"/>
          <w:sz w:val="32"/>
          <w:szCs w:val="32"/>
          <w:lang w:bidi="ar"/>
        </w:rPr>
        <w:t>2018</w:t>
      </w:r>
      <w:r w:rsidRPr="00804639">
        <w:rPr>
          <w:rFonts w:ascii="仿宋" w:eastAsia="仿宋" w:hAnsi="仿宋" w:cs="华文仿宋" w:hint="eastAsia"/>
          <w:color w:val="000000"/>
          <w:kern w:val="0"/>
          <w:sz w:val="32"/>
          <w:szCs w:val="32"/>
          <w:lang w:bidi="ar"/>
        </w:rPr>
        <w:t>年</w:t>
      </w:r>
      <w:r w:rsidRPr="00804639">
        <w:rPr>
          <w:rFonts w:ascii="仿宋" w:eastAsia="仿宋" w:hAnsi="仿宋" w:cs="华文仿宋"/>
          <w:color w:val="000000"/>
          <w:kern w:val="0"/>
          <w:sz w:val="32"/>
          <w:szCs w:val="32"/>
          <w:lang w:bidi="ar"/>
        </w:rPr>
        <w:t>2</w:t>
      </w:r>
      <w:r w:rsidRPr="00804639">
        <w:rPr>
          <w:rFonts w:ascii="仿宋" w:eastAsia="仿宋" w:hAnsi="仿宋" w:cs="华文仿宋" w:hint="eastAsia"/>
          <w:color w:val="000000"/>
          <w:kern w:val="0"/>
          <w:sz w:val="32"/>
          <w:szCs w:val="32"/>
          <w:lang w:bidi="ar"/>
        </w:rPr>
        <w:t>月</w:t>
      </w:r>
      <w:r w:rsidRPr="00804639">
        <w:rPr>
          <w:rFonts w:ascii="仿宋" w:eastAsia="仿宋" w:hAnsi="仿宋" w:cs="华文仿宋"/>
          <w:color w:val="000000"/>
          <w:kern w:val="0"/>
          <w:sz w:val="32"/>
          <w:szCs w:val="32"/>
          <w:lang w:bidi="ar"/>
        </w:rPr>
        <w:t>22</w:t>
      </w:r>
      <w:r w:rsidRPr="00804639">
        <w:rPr>
          <w:rFonts w:ascii="仿宋" w:eastAsia="仿宋" w:hAnsi="仿宋" w:cs="华文仿宋" w:hint="eastAsia"/>
          <w:color w:val="000000"/>
          <w:kern w:val="0"/>
          <w:sz w:val="32"/>
          <w:szCs w:val="32"/>
          <w:lang w:bidi="ar"/>
        </w:rPr>
        <w:t>日前报到水上中心五部</w:t>
      </w:r>
      <w:r w:rsidRPr="00804639">
        <w:rPr>
          <w:rFonts w:ascii="仿宋" w:eastAsia="仿宋" w:hAnsi="仿宋" w:cs="华文仿宋"/>
          <w:color w:val="000000"/>
          <w:kern w:val="0"/>
          <w:sz w:val="32"/>
          <w:szCs w:val="32"/>
          <w:lang w:bidi="ar"/>
        </w:rPr>
        <w:t>,</w:t>
      </w:r>
      <w:r w:rsidRPr="00804639">
        <w:rPr>
          <w:rFonts w:ascii="宋体" w:hAnsi="宋体" w:cs="宋体" w:hint="eastAsia"/>
          <w:color w:val="000000"/>
          <w:kern w:val="0"/>
          <w:sz w:val="32"/>
          <w:szCs w:val="32"/>
          <w:lang w:bidi="ar"/>
        </w:rPr>
        <w:t> </w:t>
      </w:r>
      <w:r w:rsidRPr="00804639">
        <w:rPr>
          <w:rFonts w:ascii="仿宋" w:eastAsia="仿宋" w:hAnsi="仿宋" w:cs="华文仿宋" w:hint="eastAsia"/>
          <w:color w:val="000000"/>
          <w:kern w:val="0"/>
          <w:sz w:val="32"/>
          <w:szCs w:val="32"/>
          <w:lang w:bidi="ar"/>
        </w:rPr>
        <w:t>不接收逾期报名。</w:t>
      </w:r>
    </w:p>
    <w:p w:rsidR="00C9270E" w:rsidRPr="00804639" w:rsidRDefault="003D20D0" w:rsidP="00804639">
      <w:p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联系人：朱志娜</w:t>
      </w:r>
      <w:r w:rsidR="006C4E21" w:rsidRPr="00804639">
        <w:rPr>
          <w:rFonts w:ascii="仿宋" w:eastAsia="仿宋" w:hAnsi="仿宋" w:cs="华文仿宋" w:hint="eastAsia"/>
          <w:color w:val="000000"/>
          <w:kern w:val="0"/>
          <w:sz w:val="32"/>
          <w:szCs w:val="32"/>
          <w:lang w:bidi="ar"/>
        </w:rPr>
        <w:t>，杨凯淇</w:t>
      </w:r>
      <w:r w:rsidRPr="00804639">
        <w:rPr>
          <w:rFonts w:ascii="宋体" w:hAnsi="宋体" w:cs="宋体" w:hint="eastAsia"/>
          <w:color w:val="000000"/>
          <w:kern w:val="0"/>
          <w:sz w:val="32"/>
          <w:szCs w:val="32"/>
          <w:lang w:bidi="ar"/>
        </w:rPr>
        <w:t> </w:t>
      </w:r>
      <w:r w:rsidRPr="00804639">
        <w:rPr>
          <w:rFonts w:ascii="仿宋" w:eastAsia="仿宋" w:hAnsi="仿宋" w:cs="华文仿宋" w:hint="eastAsia"/>
          <w:color w:val="000000"/>
          <w:kern w:val="0"/>
          <w:sz w:val="32"/>
          <w:szCs w:val="32"/>
          <w:lang w:bidi="ar"/>
        </w:rPr>
        <w:t>，邮箱：cnmotorboat@126.com</w:t>
      </w:r>
      <w:r w:rsidRPr="00804639">
        <w:rPr>
          <w:rFonts w:ascii="宋体" w:hAnsi="宋体" w:cs="宋体" w:hint="eastAsia"/>
          <w:color w:val="000000"/>
          <w:kern w:val="0"/>
          <w:sz w:val="32"/>
          <w:szCs w:val="32"/>
          <w:lang w:bidi="ar"/>
        </w:rPr>
        <w:t>   </w:t>
      </w:r>
    </w:p>
    <w:p w:rsidR="00C9270E" w:rsidRPr="00804639" w:rsidRDefault="003D20D0" w:rsidP="00804639">
      <w:p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联系电话：010-67113728 传真：010-67112793</w:t>
      </w:r>
    </w:p>
    <w:p w:rsidR="00804639" w:rsidRPr="006239B1" w:rsidRDefault="003D20D0" w:rsidP="00804639">
      <w:pPr>
        <w:widowControl/>
        <w:spacing w:line="269" w:lineRule="atLeast"/>
        <w:ind w:firstLine="640"/>
        <w:jc w:val="left"/>
        <w:rPr>
          <w:rFonts w:ascii="仿宋" w:eastAsia="仿宋" w:hAnsi="仿宋" w:cs="Verdana" w:hint="eastAsia"/>
          <w:color w:val="000000" w:themeColor="text1"/>
          <w:sz w:val="32"/>
          <w:szCs w:val="32"/>
        </w:rPr>
      </w:pPr>
      <w:r w:rsidRPr="006239B1">
        <w:rPr>
          <w:rFonts w:ascii="仿宋" w:eastAsia="仿宋" w:hAnsi="仿宋" w:cs="华文仿宋" w:hint="eastAsia"/>
          <w:color w:val="000000" w:themeColor="text1"/>
          <w:kern w:val="0"/>
          <w:sz w:val="32"/>
          <w:szCs w:val="32"/>
          <w:lang w:bidi="ar"/>
        </w:rPr>
        <w:t>十三、</w:t>
      </w:r>
      <w:r w:rsidRPr="006239B1">
        <w:rPr>
          <w:rFonts w:ascii="仿宋" w:eastAsia="仿宋" w:hAnsi="仿宋" w:cs="华文仿宋"/>
          <w:color w:val="000000" w:themeColor="text1"/>
          <w:kern w:val="0"/>
          <w:sz w:val="32"/>
          <w:szCs w:val="32"/>
          <w:lang w:bidi="ar"/>
        </w:rPr>
        <w:t>亚运会参赛选手的产生：</w:t>
      </w:r>
    </w:p>
    <w:p w:rsidR="00804639" w:rsidRPr="006239B1" w:rsidRDefault="003D20D0" w:rsidP="00804639">
      <w:pPr>
        <w:widowControl/>
        <w:spacing w:line="269" w:lineRule="atLeast"/>
        <w:ind w:firstLine="640"/>
        <w:jc w:val="left"/>
        <w:rPr>
          <w:rFonts w:ascii="仿宋" w:eastAsia="仿宋" w:hAnsi="仿宋" w:cs="Verdana" w:hint="eastAsia"/>
          <w:color w:val="000000" w:themeColor="text1"/>
          <w:sz w:val="32"/>
          <w:szCs w:val="32"/>
        </w:rPr>
      </w:pPr>
      <w:r w:rsidRPr="006239B1">
        <w:rPr>
          <w:rFonts w:ascii="仿宋" w:eastAsia="仿宋" w:hAnsi="仿宋" w:cs="华文仿宋" w:hint="eastAsia"/>
          <w:color w:val="000000" w:themeColor="text1"/>
          <w:kern w:val="0"/>
          <w:sz w:val="32"/>
          <w:szCs w:val="32"/>
          <w:lang w:bidi="ar"/>
        </w:rPr>
        <w:t>（一）参赛选手单场赛事总积分为其在该项目上获得的</w:t>
      </w:r>
      <w:proofErr w:type="gramStart"/>
      <w:r w:rsidRPr="006239B1">
        <w:rPr>
          <w:rFonts w:ascii="仿宋" w:eastAsia="仿宋" w:hAnsi="仿宋" w:cs="华文仿宋" w:hint="eastAsia"/>
          <w:color w:val="000000" w:themeColor="text1"/>
          <w:kern w:val="0"/>
          <w:sz w:val="32"/>
          <w:szCs w:val="32"/>
          <w:lang w:bidi="ar"/>
        </w:rPr>
        <w:t>轮次赛</w:t>
      </w:r>
      <w:proofErr w:type="gramEnd"/>
      <w:r w:rsidRPr="006239B1">
        <w:rPr>
          <w:rFonts w:ascii="仿宋" w:eastAsia="仿宋" w:hAnsi="仿宋" w:cs="华文仿宋" w:hint="eastAsia"/>
          <w:color w:val="000000" w:themeColor="text1"/>
          <w:kern w:val="0"/>
          <w:sz w:val="32"/>
          <w:szCs w:val="32"/>
          <w:lang w:bidi="ar"/>
        </w:rPr>
        <w:t>积分总和。</w:t>
      </w:r>
    </w:p>
    <w:p w:rsidR="00C9270E" w:rsidRPr="006239B1" w:rsidRDefault="003D20D0" w:rsidP="00804639">
      <w:pPr>
        <w:widowControl/>
        <w:spacing w:line="269" w:lineRule="atLeast"/>
        <w:ind w:firstLine="640"/>
        <w:jc w:val="left"/>
        <w:rPr>
          <w:rFonts w:ascii="仿宋" w:eastAsia="仿宋" w:hAnsi="仿宋" w:cs="Verdana"/>
          <w:color w:val="000000" w:themeColor="text1"/>
          <w:sz w:val="32"/>
          <w:szCs w:val="32"/>
        </w:rPr>
      </w:pPr>
      <w:r w:rsidRPr="006239B1">
        <w:rPr>
          <w:rFonts w:ascii="仿宋" w:eastAsia="仿宋" w:hAnsi="仿宋" w:cs="华文仿宋" w:hint="eastAsia"/>
          <w:color w:val="000000" w:themeColor="text1"/>
          <w:kern w:val="0"/>
          <w:sz w:val="32"/>
          <w:szCs w:val="32"/>
          <w:lang w:bidi="ar"/>
        </w:rPr>
        <w:t>（二）选拔赛总积分的计算方法为：</w:t>
      </w:r>
      <w:r w:rsidRPr="006239B1">
        <w:rPr>
          <w:rFonts w:ascii="仿宋" w:eastAsia="仿宋" w:hAnsi="仿宋" w:cs="Verdana"/>
          <w:color w:val="000000" w:themeColor="text1"/>
          <w:kern w:val="0"/>
          <w:sz w:val="32"/>
          <w:szCs w:val="32"/>
          <w:lang w:bidi="ar"/>
        </w:rPr>
        <w:t>S=M1</w:t>
      </w:r>
      <w:r w:rsidRPr="006239B1">
        <w:rPr>
          <w:rFonts w:ascii="仿宋" w:eastAsia="仿宋" w:hAnsi="仿宋" w:cs="华文仿宋" w:hint="eastAsia"/>
          <w:color w:val="000000" w:themeColor="text1"/>
          <w:kern w:val="0"/>
          <w:sz w:val="32"/>
          <w:szCs w:val="32"/>
          <w:lang w:bidi="ar"/>
        </w:rPr>
        <w:t>乘以</w:t>
      </w:r>
      <w:r w:rsidRPr="006239B1">
        <w:rPr>
          <w:rFonts w:ascii="仿宋" w:eastAsia="仿宋" w:hAnsi="仿宋" w:cs="Verdana"/>
          <w:color w:val="000000" w:themeColor="text1"/>
          <w:kern w:val="0"/>
          <w:sz w:val="32"/>
          <w:szCs w:val="32"/>
          <w:lang w:bidi="ar"/>
        </w:rPr>
        <w:t>40%+M2</w:t>
      </w:r>
      <w:r w:rsidRPr="006239B1">
        <w:rPr>
          <w:rFonts w:ascii="仿宋" w:eastAsia="仿宋" w:hAnsi="仿宋" w:cs="华文仿宋" w:hint="eastAsia"/>
          <w:color w:val="000000" w:themeColor="text1"/>
          <w:kern w:val="0"/>
          <w:sz w:val="32"/>
          <w:szCs w:val="32"/>
          <w:lang w:bidi="ar"/>
        </w:rPr>
        <w:t>乘以</w:t>
      </w:r>
      <w:r w:rsidRPr="006239B1">
        <w:rPr>
          <w:rFonts w:ascii="仿宋" w:eastAsia="仿宋" w:hAnsi="仿宋" w:cs="Verdana"/>
          <w:color w:val="000000" w:themeColor="text1"/>
          <w:kern w:val="0"/>
          <w:sz w:val="32"/>
          <w:szCs w:val="32"/>
          <w:lang w:bidi="ar"/>
        </w:rPr>
        <w:t>60%</w:t>
      </w:r>
      <w:r w:rsidRPr="006239B1">
        <w:rPr>
          <w:rFonts w:ascii="仿宋" w:eastAsia="仿宋" w:hAnsi="仿宋" w:cs="华文仿宋" w:hint="eastAsia"/>
          <w:color w:val="000000" w:themeColor="text1"/>
          <w:kern w:val="0"/>
          <w:sz w:val="32"/>
          <w:szCs w:val="32"/>
          <w:lang w:bidi="ar"/>
        </w:rPr>
        <w:t>，其中</w:t>
      </w:r>
      <w:r w:rsidRPr="006239B1">
        <w:rPr>
          <w:rFonts w:ascii="仿宋" w:eastAsia="仿宋" w:hAnsi="仿宋" w:cs="Verdana"/>
          <w:color w:val="000000" w:themeColor="text1"/>
          <w:kern w:val="0"/>
          <w:sz w:val="32"/>
          <w:szCs w:val="32"/>
          <w:lang w:bidi="ar"/>
        </w:rPr>
        <w:t>S</w:t>
      </w:r>
      <w:r w:rsidRPr="006239B1">
        <w:rPr>
          <w:rFonts w:ascii="仿宋" w:eastAsia="仿宋" w:hAnsi="仿宋" w:cs="华文仿宋" w:hint="eastAsia"/>
          <w:color w:val="000000" w:themeColor="text1"/>
          <w:kern w:val="0"/>
          <w:sz w:val="32"/>
          <w:szCs w:val="32"/>
          <w:lang w:bidi="ar"/>
        </w:rPr>
        <w:t>为选拔赛总积分，</w:t>
      </w:r>
      <w:r w:rsidRPr="006239B1">
        <w:rPr>
          <w:rFonts w:ascii="仿宋" w:eastAsia="仿宋" w:hAnsi="仿宋" w:cs="Verdana"/>
          <w:color w:val="000000" w:themeColor="text1"/>
          <w:kern w:val="0"/>
          <w:sz w:val="32"/>
          <w:szCs w:val="32"/>
          <w:lang w:bidi="ar"/>
        </w:rPr>
        <w:t>M1</w:t>
      </w:r>
      <w:r w:rsidRPr="006239B1">
        <w:rPr>
          <w:rFonts w:ascii="仿宋" w:eastAsia="仿宋" w:hAnsi="仿宋" w:cs="华文仿宋" w:hint="eastAsia"/>
          <w:color w:val="000000" w:themeColor="text1"/>
          <w:kern w:val="0"/>
          <w:sz w:val="32"/>
          <w:szCs w:val="32"/>
          <w:lang w:bidi="ar"/>
        </w:rPr>
        <w:t>为第一场比赛总积分，</w:t>
      </w:r>
      <w:r w:rsidRPr="006239B1">
        <w:rPr>
          <w:rFonts w:ascii="仿宋" w:eastAsia="仿宋" w:hAnsi="仿宋" w:cs="Verdana"/>
          <w:color w:val="000000" w:themeColor="text1"/>
          <w:kern w:val="0"/>
          <w:sz w:val="32"/>
          <w:szCs w:val="32"/>
          <w:lang w:bidi="ar"/>
        </w:rPr>
        <w:t>M2</w:t>
      </w:r>
      <w:r w:rsidRPr="006239B1">
        <w:rPr>
          <w:rFonts w:ascii="仿宋" w:eastAsia="仿宋" w:hAnsi="仿宋" w:cs="华文仿宋" w:hint="eastAsia"/>
          <w:color w:val="000000" w:themeColor="text1"/>
          <w:kern w:val="0"/>
          <w:sz w:val="32"/>
          <w:szCs w:val="32"/>
          <w:lang w:bidi="ar"/>
        </w:rPr>
        <w:t>为第二场比赛总积分。如果个别选手选拔赛总积分相同，则以第二场比赛总积分列前者为胜。</w:t>
      </w:r>
    </w:p>
    <w:p w:rsidR="00C9270E" w:rsidRPr="006239B1" w:rsidRDefault="003D20D0" w:rsidP="00804639">
      <w:pPr>
        <w:widowControl/>
        <w:spacing w:line="269" w:lineRule="atLeast"/>
        <w:ind w:firstLineChars="200" w:firstLine="640"/>
        <w:jc w:val="left"/>
        <w:rPr>
          <w:rFonts w:ascii="仿宋" w:eastAsia="仿宋" w:hAnsi="仿宋" w:cs="Verdana"/>
          <w:color w:val="000000" w:themeColor="text1"/>
          <w:sz w:val="32"/>
          <w:szCs w:val="32"/>
        </w:rPr>
      </w:pPr>
      <w:r w:rsidRPr="006239B1">
        <w:rPr>
          <w:rFonts w:ascii="仿宋" w:eastAsia="仿宋" w:hAnsi="仿宋" w:cs="华文仿宋" w:hint="eastAsia"/>
          <w:color w:val="000000" w:themeColor="text1"/>
          <w:kern w:val="0"/>
          <w:sz w:val="32"/>
          <w:szCs w:val="32"/>
          <w:lang w:bidi="ar"/>
        </w:rPr>
        <w:t>（三）按照上述各项目运动员最终选拔赛总积分排序，总积分成绩列前二名者将入选亚运会摩托艇参赛队伍正选名单，第三、四名作为替补运动员参加赛前队伍集训，以备正选运动员出现特殊情况时替补。</w:t>
      </w:r>
    </w:p>
    <w:p w:rsidR="00C9270E" w:rsidRPr="00804639" w:rsidRDefault="003D20D0" w:rsidP="00804639">
      <w:pPr>
        <w:ind w:firstLineChars="200" w:firstLine="640"/>
        <w:jc w:val="left"/>
        <w:rPr>
          <w:rFonts w:ascii="仿宋" w:eastAsia="仿宋" w:hAnsi="仿宋" w:cs="华文仿宋"/>
          <w:color w:val="000000"/>
          <w:kern w:val="0"/>
          <w:sz w:val="32"/>
          <w:szCs w:val="32"/>
          <w:lang w:bidi="ar"/>
        </w:rPr>
      </w:pPr>
      <w:r w:rsidRPr="00804639">
        <w:rPr>
          <w:rFonts w:ascii="仿宋" w:eastAsia="仿宋" w:hAnsi="仿宋" w:cs="华文仿宋" w:hint="eastAsia"/>
          <w:color w:val="000000"/>
          <w:kern w:val="0"/>
          <w:sz w:val="32"/>
          <w:szCs w:val="32"/>
          <w:lang w:bidi="ar"/>
        </w:rPr>
        <w:t>十四、其它未尽事宜将在全国摩托艇锦标赛（春季分站赛）竞赛规程中详述。</w:t>
      </w:r>
    </w:p>
    <w:p w:rsidR="00C9270E" w:rsidRDefault="00C9270E">
      <w:pPr>
        <w:rPr>
          <w:rFonts w:ascii="华文仿宋" w:eastAsia="华文仿宋" w:hAnsi="华文仿宋" w:cs="华文仿宋"/>
          <w:color w:val="000000"/>
          <w:kern w:val="0"/>
          <w:sz w:val="32"/>
          <w:szCs w:val="32"/>
          <w:lang w:bidi="ar"/>
        </w:rPr>
      </w:pPr>
    </w:p>
    <w:sectPr w:rsidR="00C9270E" w:rsidSect="00504BD7">
      <w:footerReference w:type="default" r:id="rId10"/>
      <w:pgSz w:w="11906" w:h="16838"/>
      <w:pgMar w:top="1440" w:right="1800" w:bottom="170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35" w:rsidRDefault="00FE2235">
      <w:r>
        <w:separator/>
      </w:r>
    </w:p>
  </w:endnote>
  <w:endnote w:type="continuationSeparator" w:id="0">
    <w:p w:rsidR="00FE2235" w:rsidRDefault="00F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0E" w:rsidRDefault="003D20D0">
    <w:pPr>
      <w:pStyle w:val="a4"/>
    </w:pPr>
    <w:r>
      <w:rPr>
        <w:noProof/>
      </w:rPr>
      <mc:AlternateContent>
        <mc:Choice Requires="wps">
          <w:drawing>
            <wp:anchor distT="0" distB="0" distL="114300" distR="114300" simplePos="0" relativeHeight="251659264" behindDoc="0" locked="0" layoutInCell="1" allowOverlap="1" wp14:anchorId="5C104FAD" wp14:editId="78CD9375">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270E" w:rsidRDefault="003D20D0">
                          <w:pPr>
                            <w:pStyle w:val="a4"/>
                          </w:pPr>
                          <w:r>
                            <w:rPr>
                              <w:rFonts w:hint="eastAsia"/>
                            </w:rPr>
                            <w:fldChar w:fldCharType="begin"/>
                          </w:r>
                          <w:r>
                            <w:rPr>
                              <w:rFonts w:hint="eastAsia"/>
                            </w:rPr>
                            <w:instrText xml:space="preserve"> PAGE  \* MERGEFORMAT </w:instrText>
                          </w:r>
                          <w:r>
                            <w:rPr>
                              <w:rFonts w:hint="eastAsia"/>
                            </w:rPr>
                            <w:fldChar w:fldCharType="separate"/>
                          </w:r>
                          <w:r w:rsidR="006239B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9270E" w:rsidRDefault="003D20D0">
                    <w:pPr>
                      <w:pStyle w:val="a4"/>
                    </w:pPr>
                    <w:r>
                      <w:rPr>
                        <w:rFonts w:hint="eastAsia"/>
                      </w:rPr>
                      <w:fldChar w:fldCharType="begin"/>
                    </w:r>
                    <w:r>
                      <w:rPr>
                        <w:rFonts w:hint="eastAsia"/>
                      </w:rPr>
                      <w:instrText xml:space="preserve"> PAGE  \* MERGEFORMAT </w:instrText>
                    </w:r>
                    <w:r>
                      <w:rPr>
                        <w:rFonts w:hint="eastAsia"/>
                      </w:rPr>
                      <w:fldChar w:fldCharType="separate"/>
                    </w:r>
                    <w:r w:rsidR="006239B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35" w:rsidRDefault="00FE2235">
      <w:r>
        <w:separator/>
      </w:r>
    </w:p>
  </w:footnote>
  <w:footnote w:type="continuationSeparator" w:id="0">
    <w:p w:rsidR="00FE2235" w:rsidRDefault="00FE2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92432"/>
    <w:multiLevelType w:val="singleLevel"/>
    <w:tmpl w:val="9F192432"/>
    <w:lvl w:ilvl="0">
      <w:start w:val="1"/>
      <w:numFmt w:val="chineseCounting"/>
      <w:suff w:val="nothing"/>
      <w:lvlText w:val="（%1）"/>
      <w:lvlJc w:val="left"/>
      <w:rPr>
        <w:rFonts w:hint="eastAsia"/>
      </w:rPr>
    </w:lvl>
  </w:abstractNum>
  <w:abstractNum w:abstractNumId="1">
    <w:nsid w:val="B07A17FA"/>
    <w:multiLevelType w:val="singleLevel"/>
    <w:tmpl w:val="B07A17FA"/>
    <w:lvl w:ilvl="0">
      <w:start w:val="7"/>
      <w:numFmt w:val="chineseCounting"/>
      <w:suff w:val="nothing"/>
      <w:lvlText w:val="%1、"/>
      <w:lvlJc w:val="left"/>
      <w:rPr>
        <w:rFonts w:hint="eastAsia"/>
      </w:rPr>
    </w:lvl>
  </w:abstractNum>
  <w:abstractNum w:abstractNumId="2">
    <w:nsid w:val="FB4C61DC"/>
    <w:multiLevelType w:val="singleLevel"/>
    <w:tmpl w:val="FB4C61DC"/>
    <w:lvl w:ilvl="0">
      <w:start w:val="4"/>
      <w:numFmt w:val="chineseCounting"/>
      <w:suff w:val="nothing"/>
      <w:lvlText w:val="%1、"/>
      <w:lvlJc w:val="left"/>
      <w:rPr>
        <w:rFonts w:hint="eastAsia"/>
      </w:rPr>
    </w:lvl>
  </w:abstractNum>
  <w:abstractNum w:abstractNumId="3">
    <w:nsid w:val="FD1404A6"/>
    <w:multiLevelType w:val="singleLevel"/>
    <w:tmpl w:val="FD1404A6"/>
    <w:lvl w:ilvl="0">
      <w:start w:val="1"/>
      <w:numFmt w:val="chineseCounting"/>
      <w:suff w:val="nothing"/>
      <w:lvlText w:val="（%1）"/>
      <w:lvlJc w:val="left"/>
      <w:rPr>
        <w:rFonts w:hint="eastAsia"/>
      </w:rPr>
    </w:lvl>
  </w:abstractNum>
  <w:abstractNum w:abstractNumId="4">
    <w:nsid w:val="014902B8"/>
    <w:multiLevelType w:val="singleLevel"/>
    <w:tmpl w:val="014902B8"/>
    <w:lvl w:ilvl="0">
      <w:start w:val="2"/>
      <w:numFmt w:val="chineseCounting"/>
      <w:suff w:val="nothing"/>
      <w:lvlText w:val="（%1）"/>
      <w:lvlJc w:val="left"/>
      <w:rPr>
        <w:rFonts w:hint="eastAsia"/>
      </w:rPr>
    </w:lvl>
  </w:abstractNum>
  <w:abstractNum w:abstractNumId="5">
    <w:nsid w:val="11F62176"/>
    <w:multiLevelType w:val="singleLevel"/>
    <w:tmpl w:val="11F62176"/>
    <w:lvl w:ilvl="0">
      <w:start w:val="1"/>
      <w:numFmt w:val="chineseCounting"/>
      <w:suff w:val="nothing"/>
      <w:lvlText w:val="%1、"/>
      <w:lvlJc w:val="left"/>
      <w:rPr>
        <w:rFonts w:hint="eastAsia"/>
      </w:rPr>
    </w:lvl>
  </w:abstractNum>
  <w:abstractNum w:abstractNumId="6">
    <w:nsid w:val="1ADD02F2"/>
    <w:multiLevelType w:val="singleLevel"/>
    <w:tmpl w:val="1ADD02F2"/>
    <w:lvl w:ilvl="0">
      <w:start w:val="1"/>
      <w:numFmt w:val="chineseCounting"/>
      <w:suff w:val="nothing"/>
      <w:lvlText w:val="（%1）"/>
      <w:lvlJc w:val="left"/>
      <w:pPr>
        <w:ind w:left="640" w:firstLine="0"/>
      </w:pPr>
      <w:rPr>
        <w:rFonts w:hint="eastAsi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0E"/>
    <w:rsid w:val="003D20D0"/>
    <w:rsid w:val="00490E74"/>
    <w:rsid w:val="00504BD7"/>
    <w:rsid w:val="006239B1"/>
    <w:rsid w:val="006C4E21"/>
    <w:rsid w:val="00716A31"/>
    <w:rsid w:val="00804639"/>
    <w:rsid w:val="00822100"/>
    <w:rsid w:val="00C9270E"/>
    <w:rsid w:val="00DD622B"/>
    <w:rsid w:val="00FE2235"/>
    <w:rsid w:val="0178491B"/>
    <w:rsid w:val="22332AD7"/>
    <w:rsid w:val="22AC1B0C"/>
    <w:rsid w:val="254A32FA"/>
    <w:rsid w:val="2D5F1F53"/>
    <w:rsid w:val="55A762B7"/>
    <w:rsid w:val="58E20B42"/>
    <w:rsid w:val="7601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pacing w:before="158"/>
      <w:ind w:left="100"/>
      <w:jc w:val="left"/>
    </w:pPr>
    <w:rPr>
      <w:rFonts w:ascii="Times New Roman"/>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pPr>
      <w:widowControl w:val="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DD622B"/>
    <w:rPr>
      <w:sz w:val="18"/>
      <w:szCs w:val="18"/>
    </w:rPr>
  </w:style>
  <w:style w:type="character" w:customStyle="1" w:styleId="Char">
    <w:name w:val="批注框文本 Char"/>
    <w:basedOn w:val="a0"/>
    <w:link w:val="a7"/>
    <w:rsid w:val="00DD622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pacing w:before="158"/>
      <w:ind w:left="100"/>
      <w:jc w:val="left"/>
    </w:pPr>
    <w:rPr>
      <w:rFonts w:ascii="Times New Roman"/>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pPr>
      <w:widowControl w:val="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DD622B"/>
    <w:rPr>
      <w:sz w:val="18"/>
      <w:szCs w:val="18"/>
    </w:rPr>
  </w:style>
  <w:style w:type="character" w:customStyle="1" w:styleId="Char">
    <w:name w:val="批注框文本 Char"/>
    <w:basedOn w:val="a0"/>
    <w:link w:val="a7"/>
    <w:rsid w:val="00DD622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58727-3CB3-444D-AB25-76D70630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wubu</dc:creator>
  <cp:lastModifiedBy>kaiqi yang</cp:lastModifiedBy>
  <cp:revision>4</cp:revision>
  <cp:lastPrinted>2018-02-06T02:40:00Z</cp:lastPrinted>
  <dcterms:created xsi:type="dcterms:W3CDTF">2018-02-13T01:38:00Z</dcterms:created>
  <dcterms:modified xsi:type="dcterms:W3CDTF">2018-02-13T02:37:00Z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