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left"/>
        <w:rPr>
          <w:rFonts w:ascii="华文仿宋" w:hAnsi="华文仿宋" w:eastAsia="华文仿宋" w:cs="华文仿宋"/>
          <w:color w:val="000000"/>
          <w:kern w:val="0"/>
          <w:sz w:val="32"/>
          <w:szCs w:val="32"/>
          <w:lang w:bidi="ar"/>
        </w:rPr>
      </w:pPr>
    </w:p>
    <w:p>
      <w:pPr>
        <w:spacing w:line="560" w:lineRule="exact"/>
        <w:ind w:firstLine="5481" w:firstLineChars="1713"/>
        <w:jc w:val="left"/>
        <w:rPr>
          <w:rFonts w:hint="eastAsia" w:ascii="华文仿宋" w:hAnsi="华文仿宋" w:eastAsia="华文仿宋" w:cs="华文仿宋"/>
          <w:color w:val="000000"/>
          <w:kern w:val="0"/>
          <w:sz w:val="32"/>
          <w:szCs w:val="32"/>
          <w:lang w:bidi="ar"/>
        </w:rPr>
      </w:pPr>
    </w:p>
    <w:p>
      <w:pPr>
        <w:spacing w:line="560" w:lineRule="exact"/>
        <w:ind w:firstLine="5139" w:firstLineChars="1713"/>
        <w:jc w:val="left"/>
        <w:rPr>
          <w:rFonts w:hint="eastAsia" w:ascii="仿宋" w:hAnsi="仿宋" w:eastAsia="仿宋"/>
          <w:sz w:val="30"/>
          <w:szCs w:val="30"/>
        </w:rPr>
      </w:pPr>
    </w:p>
    <w:p>
      <w:pPr>
        <w:spacing w:line="560" w:lineRule="exact"/>
        <w:ind w:firstLine="5139" w:firstLineChars="1713"/>
        <w:jc w:val="left"/>
        <w:rPr>
          <w:rFonts w:hint="eastAsia" w:ascii="仿宋" w:hAnsi="仿宋" w:eastAsia="仿宋"/>
          <w:sz w:val="30"/>
          <w:szCs w:val="30"/>
        </w:rPr>
      </w:pPr>
      <w:r>
        <w:rPr>
          <w:rFonts w:hint="eastAsia" w:ascii="仿宋" w:hAnsi="仿宋" w:eastAsia="仿宋"/>
          <w:sz w:val="30"/>
          <w:szCs w:val="30"/>
        </w:rPr>
        <w:t>水上字〔2018〕25号</w:t>
      </w:r>
    </w:p>
    <w:p>
      <w:pPr>
        <w:spacing w:line="560" w:lineRule="exact"/>
        <w:ind w:firstLine="5481" w:firstLineChars="1713"/>
        <w:jc w:val="left"/>
        <w:rPr>
          <w:rFonts w:ascii="华文仿宋" w:hAnsi="华文仿宋" w:eastAsia="华文仿宋" w:cs="华文仿宋"/>
          <w:color w:val="000000"/>
          <w:kern w:val="0"/>
          <w:sz w:val="32"/>
          <w:szCs w:val="32"/>
          <w:lang w:bidi="ar"/>
        </w:rPr>
      </w:pPr>
    </w:p>
    <w:p>
      <w:pPr>
        <w:jc w:val="center"/>
        <w:rPr>
          <w:sz w:val="36"/>
          <w:szCs w:val="36"/>
        </w:rPr>
      </w:pPr>
      <w:r>
        <w:rPr>
          <w:rFonts w:hint="eastAsia" w:ascii="宋体" w:hAnsi="宋体" w:cs="宋体"/>
          <w:sz w:val="36"/>
          <w:szCs w:val="36"/>
        </w:rPr>
        <w:t>体育总局水上中心</w:t>
      </w:r>
      <w:r>
        <w:rPr>
          <w:rFonts w:hint="eastAsia"/>
          <w:sz w:val="36"/>
          <w:szCs w:val="36"/>
        </w:rPr>
        <w:t>关于将摩托艇项目参加亚运会</w:t>
      </w:r>
    </w:p>
    <w:p>
      <w:pPr>
        <w:spacing w:line="560" w:lineRule="exact"/>
        <w:jc w:val="center"/>
        <w:rPr>
          <w:sz w:val="36"/>
          <w:szCs w:val="36"/>
        </w:rPr>
      </w:pPr>
      <w:r>
        <w:rPr>
          <w:rFonts w:hint="eastAsia"/>
          <w:sz w:val="36"/>
          <w:szCs w:val="36"/>
        </w:rPr>
        <w:t>选拔办法进行公示的通知</w:t>
      </w:r>
    </w:p>
    <w:p>
      <w:pPr>
        <w:spacing w:line="560" w:lineRule="exact"/>
        <w:jc w:val="center"/>
        <w:rPr>
          <w:sz w:val="36"/>
          <w:szCs w:val="36"/>
        </w:rPr>
      </w:pPr>
    </w:p>
    <w:p>
      <w:pPr>
        <w:spacing w:line="560" w:lineRule="exact"/>
        <w:jc w:val="left"/>
        <w:rPr>
          <w:rFonts w:ascii="华文仿宋" w:hAnsi="华文仿宋" w:eastAsia="华文仿宋" w:cs="华文仿宋"/>
          <w:sz w:val="32"/>
          <w:szCs w:val="32"/>
        </w:rPr>
      </w:pPr>
      <w:r>
        <w:rPr>
          <w:rFonts w:hint="eastAsia" w:ascii="华文仿宋" w:hAnsi="华文仿宋" w:eastAsia="华文仿宋" w:cs="华文仿宋"/>
          <w:sz w:val="32"/>
          <w:szCs w:val="32"/>
        </w:rPr>
        <w:t>各有关单位：</w:t>
      </w:r>
    </w:p>
    <w:p>
      <w:pPr>
        <w:spacing w:line="560" w:lineRule="exact"/>
        <w:ind w:firstLine="64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第18届亚运会将于2018年8月18日-9月2日在印尼雅加达举行,摩托艇项目被列入正式的比赛项目。根据总局关于备战亚运会的有关指示精神要求，参照亚运会组委会下发的摩托艇项目技术手册内容，为更加公平、公正、公开的选拔出最优秀选手参加亚运会，并力争取得优异成绩，我中心将组织摩托艇项目参加亚运会选手的公开选拔，现将选拔办法公布如下：</w:t>
      </w:r>
    </w:p>
    <w:p>
      <w:pPr>
        <w:numPr>
          <w:ilvl w:val="0"/>
          <w:numId w:val="1"/>
        </w:numPr>
        <w:spacing w:line="560" w:lineRule="exact"/>
        <w:ind w:firstLine="64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参加选拔的赛事：</w:t>
      </w:r>
      <w:r>
        <w:rPr>
          <w:rFonts w:ascii="华文仿宋" w:hAnsi="华文仿宋" w:eastAsia="华文仿宋" w:cs="华文仿宋"/>
          <w:color w:val="000000"/>
          <w:kern w:val="0"/>
          <w:sz w:val="32"/>
          <w:szCs w:val="32"/>
          <w:lang w:bidi="ar"/>
        </w:rPr>
        <w:t>2018</w:t>
      </w:r>
      <w:r>
        <w:rPr>
          <w:rFonts w:hint="eastAsia" w:ascii="华文仿宋" w:hAnsi="华文仿宋" w:eastAsia="华文仿宋" w:cs="华文仿宋"/>
          <w:color w:val="000000"/>
          <w:kern w:val="0"/>
          <w:sz w:val="32"/>
          <w:szCs w:val="32"/>
          <w:lang w:bidi="ar"/>
        </w:rPr>
        <w:t>年全国摩托艇锦标赛（春季分站赛）第一场和第二场，共二场比赛。两场比赛之间将视情况进行短期集训，具体通知另发。</w:t>
      </w:r>
    </w:p>
    <w:p>
      <w:pPr>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二、比赛时间和地点：第一场比赛时间</w:t>
      </w:r>
      <w:r>
        <w:rPr>
          <w:rFonts w:ascii="华文仿宋" w:hAnsi="华文仿宋" w:eastAsia="华文仿宋" w:cs="华文仿宋"/>
          <w:color w:val="000000"/>
          <w:kern w:val="0"/>
          <w:sz w:val="32"/>
          <w:szCs w:val="32"/>
          <w:lang w:bidi="ar"/>
        </w:rPr>
        <w:t>2018</w:t>
      </w:r>
      <w:r>
        <w:rPr>
          <w:rFonts w:hint="eastAsia" w:ascii="华文仿宋" w:hAnsi="华文仿宋" w:eastAsia="华文仿宋" w:cs="华文仿宋"/>
          <w:color w:val="000000"/>
          <w:kern w:val="0"/>
          <w:sz w:val="32"/>
          <w:szCs w:val="32"/>
          <w:lang w:bidi="ar"/>
        </w:rPr>
        <w:t>年</w:t>
      </w:r>
      <w:r>
        <w:rPr>
          <w:rFonts w:ascii="华文仿宋" w:hAnsi="华文仿宋" w:eastAsia="华文仿宋" w:cs="华文仿宋"/>
          <w:color w:val="000000"/>
          <w:kern w:val="0"/>
          <w:sz w:val="32"/>
          <w:szCs w:val="32"/>
          <w:lang w:bidi="ar"/>
        </w:rPr>
        <w:t>4</w:t>
      </w:r>
      <w:r>
        <w:rPr>
          <w:rFonts w:hint="eastAsia" w:ascii="华文仿宋" w:hAnsi="华文仿宋" w:eastAsia="华文仿宋" w:cs="华文仿宋"/>
          <w:color w:val="000000"/>
          <w:kern w:val="0"/>
          <w:sz w:val="32"/>
          <w:szCs w:val="32"/>
          <w:lang w:bidi="ar"/>
        </w:rPr>
        <w:t>月</w:t>
      </w:r>
      <w:r>
        <w:rPr>
          <w:rFonts w:ascii="华文仿宋" w:hAnsi="华文仿宋" w:eastAsia="华文仿宋" w:cs="华文仿宋"/>
          <w:color w:val="000000"/>
          <w:kern w:val="0"/>
          <w:sz w:val="32"/>
          <w:szCs w:val="32"/>
          <w:lang w:bidi="ar"/>
        </w:rPr>
        <w:t>8</w:t>
      </w:r>
      <w:r>
        <w:rPr>
          <w:rFonts w:hint="eastAsia" w:ascii="华文仿宋" w:hAnsi="华文仿宋" w:eastAsia="华文仿宋" w:cs="华文仿宋"/>
          <w:color w:val="000000"/>
          <w:kern w:val="0"/>
          <w:sz w:val="32"/>
          <w:szCs w:val="32"/>
          <w:lang w:bidi="ar"/>
        </w:rPr>
        <w:t>日至</w:t>
      </w:r>
      <w:r>
        <w:rPr>
          <w:rFonts w:ascii="华文仿宋" w:hAnsi="华文仿宋" w:eastAsia="华文仿宋" w:cs="华文仿宋"/>
          <w:color w:val="000000"/>
          <w:kern w:val="0"/>
          <w:sz w:val="32"/>
          <w:szCs w:val="32"/>
          <w:lang w:bidi="ar"/>
        </w:rPr>
        <w:t>4</w:t>
      </w:r>
      <w:r>
        <w:rPr>
          <w:rFonts w:hint="eastAsia" w:ascii="华文仿宋" w:hAnsi="华文仿宋" w:eastAsia="华文仿宋" w:cs="华文仿宋"/>
          <w:color w:val="000000"/>
          <w:kern w:val="0"/>
          <w:sz w:val="32"/>
          <w:szCs w:val="32"/>
          <w:lang w:bidi="ar"/>
        </w:rPr>
        <w:t>月</w:t>
      </w:r>
      <w:r>
        <w:rPr>
          <w:rFonts w:ascii="华文仿宋" w:hAnsi="华文仿宋" w:eastAsia="华文仿宋" w:cs="华文仿宋"/>
          <w:color w:val="000000"/>
          <w:kern w:val="0"/>
          <w:sz w:val="32"/>
          <w:szCs w:val="32"/>
          <w:lang w:bidi="ar"/>
        </w:rPr>
        <w:t>11</w:t>
      </w:r>
      <w:r>
        <w:rPr>
          <w:rFonts w:hint="eastAsia" w:ascii="华文仿宋" w:hAnsi="华文仿宋" w:eastAsia="华文仿宋" w:cs="华文仿宋"/>
          <w:color w:val="000000"/>
          <w:kern w:val="0"/>
          <w:sz w:val="32"/>
          <w:szCs w:val="32"/>
          <w:lang w:bidi="ar"/>
        </w:rPr>
        <w:t>日；第二场比赛时间</w:t>
      </w:r>
      <w:r>
        <w:rPr>
          <w:rFonts w:ascii="华文仿宋" w:hAnsi="华文仿宋" w:eastAsia="华文仿宋" w:cs="华文仿宋"/>
          <w:color w:val="000000"/>
          <w:kern w:val="0"/>
          <w:sz w:val="32"/>
          <w:szCs w:val="32"/>
          <w:lang w:bidi="ar"/>
        </w:rPr>
        <w:t>2018</w:t>
      </w:r>
      <w:r>
        <w:rPr>
          <w:rFonts w:hint="eastAsia" w:ascii="华文仿宋" w:hAnsi="华文仿宋" w:eastAsia="华文仿宋" w:cs="华文仿宋"/>
          <w:color w:val="000000"/>
          <w:kern w:val="0"/>
          <w:sz w:val="32"/>
          <w:szCs w:val="32"/>
          <w:lang w:bidi="ar"/>
        </w:rPr>
        <w:t>年</w:t>
      </w:r>
      <w:r>
        <w:rPr>
          <w:rFonts w:ascii="华文仿宋" w:hAnsi="华文仿宋" w:eastAsia="华文仿宋" w:cs="华文仿宋"/>
          <w:color w:val="000000"/>
          <w:kern w:val="0"/>
          <w:sz w:val="32"/>
          <w:szCs w:val="32"/>
          <w:lang w:bidi="ar"/>
        </w:rPr>
        <w:t>4</w:t>
      </w:r>
      <w:r>
        <w:rPr>
          <w:rFonts w:hint="eastAsia" w:ascii="华文仿宋" w:hAnsi="华文仿宋" w:eastAsia="华文仿宋" w:cs="华文仿宋"/>
          <w:color w:val="000000"/>
          <w:kern w:val="0"/>
          <w:sz w:val="32"/>
          <w:szCs w:val="32"/>
          <w:lang w:bidi="ar"/>
        </w:rPr>
        <w:t>月</w:t>
      </w:r>
      <w:r>
        <w:rPr>
          <w:rFonts w:ascii="华文仿宋" w:hAnsi="华文仿宋" w:eastAsia="华文仿宋" w:cs="华文仿宋"/>
          <w:color w:val="000000"/>
          <w:kern w:val="0"/>
          <w:sz w:val="32"/>
          <w:szCs w:val="32"/>
          <w:lang w:bidi="ar"/>
        </w:rPr>
        <w:t>23</w:t>
      </w:r>
      <w:r>
        <w:rPr>
          <w:rFonts w:hint="eastAsia" w:ascii="华文仿宋" w:hAnsi="华文仿宋" w:eastAsia="华文仿宋" w:cs="华文仿宋"/>
          <w:color w:val="000000"/>
          <w:kern w:val="0"/>
          <w:sz w:val="32"/>
          <w:szCs w:val="32"/>
          <w:lang w:bidi="ar"/>
        </w:rPr>
        <w:t>日至</w:t>
      </w:r>
      <w:r>
        <w:rPr>
          <w:rFonts w:ascii="华文仿宋" w:hAnsi="华文仿宋" w:eastAsia="华文仿宋" w:cs="华文仿宋"/>
          <w:color w:val="000000"/>
          <w:kern w:val="0"/>
          <w:sz w:val="32"/>
          <w:szCs w:val="32"/>
          <w:lang w:bidi="ar"/>
        </w:rPr>
        <w:t>26</w:t>
      </w:r>
      <w:r>
        <w:rPr>
          <w:rFonts w:hint="eastAsia" w:ascii="华文仿宋" w:hAnsi="华文仿宋" w:eastAsia="华文仿宋" w:cs="华文仿宋"/>
          <w:color w:val="000000"/>
          <w:kern w:val="0"/>
          <w:sz w:val="32"/>
          <w:szCs w:val="32"/>
          <w:lang w:bidi="ar"/>
        </w:rPr>
        <w:t>日，地点均在深圳大鹏新区海域</w:t>
      </w:r>
    </w:p>
    <w:p>
      <w:pPr>
        <w:spacing w:line="56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三、比赛设项：以下设项和亚运会设项完全一致。</w:t>
      </w:r>
    </w:p>
    <w:p>
      <w:pPr>
        <w:numPr>
          <w:ilvl w:val="0"/>
          <w:numId w:val="2"/>
        </w:numPr>
        <w:spacing w:line="560" w:lineRule="exact"/>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男子立式水摩改装级</w:t>
      </w:r>
    </w:p>
    <w:p>
      <w:pPr>
        <w:numPr>
          <w:ilvl w:val="0"/>
          <w:numId w:val="2"/>
        </w:numPr>
        <w:spacing w:line="440" w:lineRule="exact"/>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男子坐式水摩限制级</w:t>
      </w:r>
    </w:p>
    <w:p>
      <w:pPr>
        <w:numPr>
          <w:ilvl w:val="0"/>
          <w:numId w:val="2"/>
        </w:numPr>
        <w:spacing w:line="440" w:lineRule="exact"/>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男子坐式水摩耐力公开级</w:t>
      </w:r>
    </w:p>
    <w:p>
      <w:pPr>
        <w:numPr>
          <w:ilvl w:val="0"/>
          <w:numId w:val="2"/>
        </w:numPr>
        <w:spacing w:line="440" w:lineRule="exact"/>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男子坐式水摩1100CC原厂级</w:t>
      </w:r>
    </w:p>
    <w:p>
      <w:pPr>
        <w:numPr>
          <w:ilvl w:val="0"/>
          <w:numId w:val="3"/>
        </w:numPr>
        <w:spacing w:line="44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参加单位和资格条件：</w:t>
      </w:r>
    </w:p>
    <w:p>
      <w:pPr>
        <w:numPr>
          <w:ilvl w:val="0"/>
          <w:numId w:val="4"/>
        </w:numPr>
        <w:spacing w:line="44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参加过近年来全国摩托艇三星级以上赛事（含三星级）的中国国籍选手（须通过政治审查和职业道德审核）均可参加；每个2017年注册团体会员单位每个项目最多可报2名选手，1名教练，1名领队，1名机械师。</w:t>
      </w:r>
    </w:p>
    <w:p>
      <w:pPr>
        <w:spacing w:line="44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（二）按照总局最新通知要求，具有一定技术水平和能力的摩托艇运动社会爱好者也可以报名参加，但其使用的器材要符合亚运会器材使用标准和规定，并须通过政审和职业道德审核。</w:t>
      </w:r>
    </w:p>
    <w:p>
      <w:pPr>
        <w:spacing w:line="44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（三）运动员不得兼项。</w:t>
      </w:r>
    </w:p>
    <w:p>
      <w:pPr>
        <w:spacing w:line="44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五、比赛执行的规则和器材标准：</w:t>
      </w:r>
    </w:p>
    <w:p>
      <w:pPr>
        <w:spacing w:line="440" w:lineRule="exact"/>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（一）本次比赛执行IJSBA2016-17年竞赛规则</w:t>
      </w:r>
    </w:p>
    <w:p>
      <w:pPr>
        <w:spacing w:line="440" w:lineRule="exact"/>
        <w:ind w:firstLine="640" w:firstLineChars="200"/>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（二）具体器材使用标准和规定见下面列表：</w:t>
      </w:r>
    </w:p>
    <w:tbl>
      <w:tblPr>
        <w:tblStyle w:val="8"/>
        <w:tblW w:w="9984"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76"/>
        <w:gridCol w:w="864"/>
        <w:gridCol w:w="1176"/>
        <w:gridCol w:w="1584"/>
        <w:gridCol w:w="1872"/>
        <w:gridCol w:w="183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576" w:type="dxa"/>
            <w:vAlign w:val="center"/>
          </w:tcPr>
          <w:p>
            <w:pPr>
              <w:jc w:val="center"/>
              <w:rPr>
                <w:rFonts w:ascii="华文仿宋" w:hAnsi="华文仿宋" w:eastAsia="华文仿宋" w:cs="华文仿宋"/>
                <w:color w:val="000000"/>
                <w:kern w:val="0"/>
                <w:sz w:val="32"/>
                <w:szCs w:val="32"/>
                <w:lang w:bidi="ar"/>
              </w:rPr>
            </w:pPr>
            <w:r>
              <w:rPr>
                <w:rFonts w:hint="eastAsia"/>
                <w:b/>
                <w:sz w:val="15"/>
                <w:szCs w:val="15"/>
              </w:rPr>
              <w:t>序号</w:t>
            </w:r>
          </w:p>
        </w:tc>
        <w:tc>
          <w:tcPr>
            <w:tcW w:w="1140" w:type="dxa"/>
            <w:gridSpan w:val="2"/>
            <w:vAlign w:val="center"/>
          </w:tcPr>
          <w:p>
            <w:pPr>
              <w:jc w:val="center"/>
              <w:rPr>
                <w:rFonts w:ascii="华文仿宋" w:hAnsi="华文仿宋" w:eastAsia="华文仿宋" w:cs="华文仿宋"/>
                <w:color w:val="000000"/>
                <w:kern w:val="0"/>
                <w:sz w:val="32"/>
                <w:szCs w:val="32"/>
                <w:lang w:bidi="ar"/>
              </w:rPr>
            </w:pPr>
            <w:r>
              <w:rPr>
                <w:rFonts w:hint="eastAsia"/>
                <w:b/>
                <w:szCs w:val="21"/>
              </w:rPr>
              <w:t>项目</w:t>
            </w:r>
          </w:p>
        </w:tc>
        <w:tc>
          <w:tcPr>
            <w:tcW w:w="1176" w:type="dxa"/>
            <w:vAlign w:val="center"/>
          </w:tcPr>
          <w:p>
            <w:pPr>
              <w:jc w:val="center"/>
              <w:rPr>
                <w:rFonts w:ascii="华文仿宋" w:hAnsi="华文仿宋" w:eastAsia="华文仿宋" w:cs="华文仿宋"/>
                <w:color w:val="000000"/>
                <w:kern w:val="0"/>
                <w:sz w:val="32"/>
                <w:szCs w:val="32"/>
                <w:lang w:bidi="ar"/>
              </w:rPr>
            </w:pPr>
            <w:r>
              <w:rPr>
                <w:rFonts w:hint="eastAsia"/>
                <w:b/>
                <w:szCs w:val="21"/>
              </w:rPr>
              <w:t>级别</w:t>
            </w:r>
          </w:p>
        </w:tc>
        <w:tc>
          <w:tcPr>
            <w:tcW w:w="1584" w:type="dxa"/>
            <w:vAlign w:val="center"/>
          </w:tcPr>
          <w:p>
            <w:pPr>
              <w:jc w:val="center"/>
              <w:rPr>
                <w:rFonts w:ascii="华文仿宋" w:hAnsi="华文仿宋" w:eastAsia="华文仿宋" w:cs="华文仿宋"/>
                <w:color w:val="000000"/>
                <w:kern w:val="0"/>
                <w:sz w:val="32"/>
                <w:szCs w:val="32"/>
                <w:lang w:bidi="ar"/>
              </w:rPr>
            </w:pPr>
            <w:r>
              <w:rPr>
                <w:rFonts w:hint="eastAsia"/>
                <w:b/>
                <w:szCs w:val="21"/>
              </w:rPr>
              <w:t>排量</w:t>
            </w:r>
          </w:p>
        </w:tc>
        <w:tc>
          <w:tcPr>
            <w:tcW w:w="1872" w:type="dxa"/>
            <w:vAlign w:val="center"/>
          </w:tcPr>
          <w:p>
            <w:pPr>
              <w:jc w:val="center"/>
              <w:rPr>
                <w:rFonts w:ascii="华文仿宋" w:hAnsi="华文仿宋" w:eastAsia="华文仿宋" w:cs="华文仿宋"/>
                <w:color w:val="000000"/>
                <w:kern w:val="0"/>
                <w:sz w:val="32"/>
                <w:szCs w:val="32"/>
                <w:lang w:bidi="ar"/>
              </w:rPr>
            </w:pPr>
            <w:r>
              <w:rPr>
                <w:rFonts w:hint="eastAsia"/>
                <w:b/>
                <w:szCs w:val="21"/>
              </w:rPr>
              <w:t>重量与尺寸</w:t>
            </w:r>
          </w:p>
        </w:tc>
        <w:tc>
          <w:tcPr>
            <w:tcW w:w="1836" w:type="dxa"/>
            <w:vAlign w:val="center"/>
          </w:tcPr>
          <w:p>
            <w:pPr>
              <w:jc w:val="center"/>
              <w:rPr>
                <w:rFonts w:ascii="华文仿宋" w:hAnsi="华文仿宋" w:eastAsia="华文仿宋" w:cs="华文仿宋"/>
                <w:color w:val="000000"/>
                <w:kern w:val="0"/>
                <w:sz w:val="32"/>
                <w:szCs w:val="32"/>
                <w:lang w:bidi="ar"/>
              </w:rPr>
            </w:pPr>
            <w:r>
              <w:rPr>
                <w:rFonts w:hint="eastAsia"/>
                <w:b/>
                <w:szCs w:val="21"/>
              </w:rPr>
              <w:t>技术标准与内容</w:t>
            </w:r>
          </w:p>
        </w:tc>
        <w:tc>
          <w:tcPr>
            <w:tcW w:w="1800" w:type="dxa"/>
            <w:vAlign w:val="center"/>
          </w:tcPr>
          <w:p>
            <w:pPr>
              <w:jc w:val="center"/>
              <w:rPr>
                <w:rFonts w:ascii="华文仿宋" w:hAnsi="华文仿宋" w:eastAsia="华文仿宋" w:cs="华文仿宋"/>
                <w:color w:val="000000"/>
                <w:kern w:val="0"/>
                <w:sz w:val="32"/>
                <w:szCs w:val="32"/>
                <w:lang w:bidi="ar"/>
              </w:rPr>
            </w:pPr>
            <w:r>
              <w:rPr>
                <w:rFonts w:hint="eastAsia"/>
                <w:b/>
                <w:szCs w:val="21"/>
              </w:rPr>
              <w:t>标准要点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76" w:type="dxa"/>
            <w:vMerge w:val="restart"/>
            <w:vAlign w:val="center"/>
          </w:tcPr>
          <w:p>
            <w:pPr>
              <w:jc w:val="center"/>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1</w:t>
            </w:r>
          </w:p>
        </w:tc>
        <w:tc>
          <w:tcPr>
            <w:tcW w:w="1140" w:type="dxa"/>
            <w:gridSpan w:val="2"/>
            <w:vAlign w:val="center"/>
          </w:tcPr>
          <w:p>
            <w:pPr>
              <w:jc w:val="center"/>
              <w:rPr>
                <w:rFonts w:ascii="华文仿宋" w:hAnsi="华文仿宋" w:eastAsia="华文仿宋" w:cs="华文仿宋"/>
                <w:bCs/>
                <w:color w:val="000000"/>
                <w:kern w:val="0"/>
                <w:sz w:val="32"/>
                <w:szCs w:val="32"/>
                <w:lang w:bidi="ar"/>
              </w:rPr>
            </w:pPr>
            <w:r>
              <w:rPr>
                <w:rFonts w:hint="eastAsia"/>
                <w:bCs/>
                <w:szCs w:val="21"/>
              </w:rPr>
              <w:t>Ski</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Modified</w:t>
            </w:r>
          </w:p>
        </w:tc>
        <w:tc>
          <w:tcPr>
            <w:tcW w:w="1584"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2冲：≤1300cc</w:t>
            </w:r>
          </w:p>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4冲自然吸气：≤1500cc</w:t>
            </w:r>
          </w:p>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4冲增压：≤900cc</w:t>
            </w:r>
          </w:p>
        </w:tc>
        <w:tc>
          <w:tcPr>
            <w:tcW w:w="1872"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艇长≤246.4cm</w:t>
            </w:r>
          </w:p>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艇宽= 50.8cm～76.2cm</w:t>
            </w:r>
          </w:p>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净重＞114kg</w:t>
            </w:r>
          </w:p>
        </w:tc>
        <w:tc>
          <w:tcPr>
            <w:tcW w:w="1836" w:type="dxa"/>
            <w:vMerge w:val="restart"/>
          </w:tcPr>
          <w:p>
            <w:pPr>
              <w:pStyle w:val="2"/>
              <w:widowControl/>
              <w:topLinePunct/>
              <w:autoSpaceDE/>
              <w:autoSpaceDN/>
              <w:snapToGrid w:val="0"/>
              <w:spacing w:before="156" w:beforeLines="50" w:after="156" w:afterLines="50"/>
              <w:ind w:left="0"/>
              <w:rPr>
                <w:rFonts w:ascii="Arial" w:hAnsi="Arial"/>
                <w:bCs/>
                <w:snapToGrid w:val="0"/>
                <w:sz w:val="15"/>
                <w:szCs w:val="15"/>
              </w:rPr>
            </w:pPr>
            <w:r>
              <w:rPr>
                <w:rFonts w:hint="eastAsia"/>
                <w:bCs/>
                <w:sz w:val="15"/>
                <w:szCs w:val="15"/>
              </w:rPr>
              <w:t>详细参考IJSBA技术规则</w:t>
            </w:r>
            <w:r>
              <w:rPr>
                <w:rFonts w:ascii="Arial" w:hAnsi="Arial"/>
                <w:bCs/>
                <w:snapToGrid w:val="0"/>
                <w:sz w:val="15"/>
                <w:szCs w:val="15"/>
              </w:rPr>
              <w:t xml:space="preserve">SKI Division </w:t>
            </w:r>
          </w:p>
          <w:p>
            <w:pPr>
              <w:pStyle w:val="2"/>
              <w:widowControl/>
              <w:topLinePunct/>
              <w:autoSpaceDE/>
              <w:autoSpaceDN/>
              <w:snapToGrid w:val="0"/>
              <w:spacing w:before="156" w:beforeLines="50" w:after="156" w:afterLines="50"/>
              <w:ind w:left="0"/>
              <w:rPr>
                <w:rFonts w:ascii="华文仿宋" w:hAnsi="华文仿宋" w:eastAsia="华文仿宋" w:cs="华文仿宋"/>
                <w:bCs/>
                <w:color w:val="000000"/>
                <w:kern w:val="0"/>
                <w:sz w:val="15"/>
                <w:szCs w:val="15"/>
                <w:lang w:bidi="ar"/>
              </w:rPr>
            </w:pPr>
            <w:r>
              <w:rPr>
                <w:rFonts w:ascii="Arial" w:hAnsi="Arial"/>
                <w:bCs/>
                <w:snapToGrid w:val="0"/>
                <w:sz w:val="15"/>
                <w:szCs w:val="15"/>
              </w:rPr>
              <w:t>13.1</w:t>
            </w:r>
            <w:r>
              <w:rPr>
                <w:rFonts w:ascii="Arial" w:hAnsi="Arial"/>
                <w:bCs/>
                <w:snapToGrid w:val="0"/>
                <w:sz w:val="15"/>
                <w:szCs w:val="15"/>
              </w:rPr>
              <w:tab/>
            </w:r>
            <w:r>
              <w:rPr>
                <w:rFonts w:ascii="Arial" w:hAnsi="Arial"/>
                <w:bCs/>
                <w:snapToGrid w:val="0"/>
                <w:sz w:val="15"/>
                <w:szCs w:val="15"/>
              </w:rPr>
              <w:t>MODIFIED CLASS</w:t>
            </w:r>
            <w:r>
              <w:rPr>
                <w:rFonts w:hint="eastAsia" w:ascii="Arial" w:hAnsi="Arial"/>
                <w:bCs/>
                <w:snapToGrid w:val="0"/>
                <w:sz w:val="15"/>
                <w:szCs w:val="15"/>
              </w:rPr>
              <w:t xml:space="preserve"> </w:t>
            </w:r>
            <w:r>
              <w:rPr>
                <w:rFonts w:ascii="Arial" w:hAnsi="Arial"/>
                <w:bCs/>
                <w:snapToGrid w:val="0"/>
                <w:sz w:val="15"/>
                <w:szCs w:val="15"/>
              </w:rPr>
              <w:t>COMPETITION</w:t>
            </w:r>
            <w:r>
              <w:rPr>
                <w:rFonts w:ascii="Arial" w:hAnsi="Arial"/>
                <w:bCs/>
                <w:snapToGrid w:val="0"/>
                <w:sz w:val="15"/>
                <w:szCs w:val="15"/>
              </w:rPr>
              <w:tab/>
            </w:r>
            <w:r>
              <w:rPr>
                <w:rFonts w:ascii="Arial" w:hAnsi="Arial"/>
                <w:bCs/>
                <w:snapToGrid w:val="0"/>
                <w:sz w:val="15"/>
                <w:szCs w:val="15"/>
              </w:rPr>
              <w:t xml:space="preserve">(GP) </w:t>
            </w:r>
          </w:p>
        </w:tc>
        <w:tc>
          <w:tcPr>
            <w:tcW w:w="1800" w:type="dxa"/>
            <w:vMerge w:val="restart"/>
            <w:vAlign w:val="center"/>
          </w:tcPr>
          <w:p>
            <w:pPr>
              <w:rPr>
                <w:rFonts w:ascii="华文仿宋" w:hAnsi="华文仿宋" w:eastAsia="华文仿宋" w:cs="华文仿宋"/>
                <w:bCs/>
                <w:color w:val="000000"/>
                <w:kern w:val="0"/>
                <w:sz w:val="18"/>
                <w:szCs w:val="18"/>
                <w:lang w:bidi="ar"/>
              </w:rPr>
            </w:pPr>
            <w:r>
              <w:rPr>
                <w:rFonts w:hint="eastAsia" w:asciiTheme="minorEastAsia" w:hAnsiTheme="minorEastAsia"/>
                <w:bCs/>
                <w:snapToGrid w:val="0"/>
                <w:color w:val="000000" w:themeColor="text1"/>
                <w:sz w:val="18"/>
                <w:szCs w:val="18"/>
                <w14:textFill>
                  <w14:solidFill>
                    <w14:schemeClr w14:val="tx1"/>
                  </w14:solidFill>
                </w14:textFill>
              </w:rPr>
              <w:t>1.</w:t>
            </w:r>
            <w:r>
              <w:rPr>
                <w:rFonts w:asciiTheme="minorEastAsia" w:hAnsiTheme="minorEastAsia"/>
                <w:bCs/>
                <w:snapToGrid w:val="0"/>
                <w:color w:val="000000" w:themeColor="text1"/>
                <w:sz w:val="18"/>
                <w:szCs w:val="18"/>
                <w14:textFill>
                  <w14:solidFill>
                    <w14:schemeClr w14:val="tx1"/>
                  </w14:solidFill>
                </w14:textFill>
              </w:rPr>
              <w:t>川崎SX-R</w:t>
            </w:r>
            <w:r>
              <w:rPr>
                <w:rFonts w:hint="eastAsia" w:asciiTheme="minorEastAsia" w:hAnsiTheme="minorEastAsia"/>
                <w:bCs/>
                <w:snapToGrid w:val="0"/>
                <w:color w:val="000000" w:themeColor="text1"/>
                <w:sz w:val="18"/>
                <w:szCs w:val="18"/>
                <w14:textFill>
                  <w14:solidFill>
                    <w14:schemeClr w14:val="tx1"/>
                  </w14:solidFill>
                </w14:textFill>
              </w:rPr>
              <w:t>（4冲），</w:t>
            </w:r>
            <w:r>
              <w:rPr>
                <w:rFonts w:asciiTheme="minorEastAsia" w:hAnsiTheme="minorEastAsia"/>
                <w:bCs/>
                <w:snapToGrid w:val="0"/>
                <w:color w:val="000000" w:themeColor="text1"/>
                <w:sz w:val="18"/>
                <w:szCs w:val="18"/>
                <w14:textFill>
                  <w14:solidFill>
                    <w14:schemeClr w14:val="tx1"/>
                  </w14:solidFill>
                </w14:textFill>
              </w:rPr>
              <w:t>必须使用原厂发动机组</w:t>
            </w:r>
            <w:r>
              <w:rPr>
                <w:rFonts w:hint="eastAsia" w:asciiTheme="minorEastAsia" w:hAnsiTheme="minorEastAsia"/>
                <w:bCs/>
                <w:snapToGrid w:val="0"/>
                <w:color w:val="000000" w:themeColor="text1"/>
                <w:sz w:val="18"/>
                <w:szCs w:val="18"/>
                <w14:textFill>
                  <w14:solidFill>
                    <w14:schemeClr w14:val="tx1"/>
                  </w14:solidFill>
                </w14:textFill>
              </w:rPr>
              <w:t>2.有别于GP，引擎与艇壳须为同一品牌。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vAlign w:val="center"/>
          </w:tcPr>
          <w:p>
            <w:pPr>
              <w:jc w:val="center"/>
              <w:rPr>
                <w:rFonts w:ascii="华文仿宋" w:hAnsi="华文仿宋" w:eastAsia="华文仿宋" w:cs="华文仿宋"/>
                <w:color w:val="000000"/>
                <w:kern w:val="0"/>
                <w:sz w:val="32"/>
                <w:szCs w:val="32"/>
                <w:lang w:bidi="ar"/>
              </w:rPr>
            </w:pPr>
          </w:p>
        </w:tc>
        <w:tc>
          <w:tcPr>
            <w:tcW w:w="1140" w:type="dxa"/>
            <w:gridSpan w:val="2"/>
            <w:vAlign w:val="center"/>
          </w:tcPr>
          <w:p>
            <w:pPr>
              <w:jc w:val="center"/>
              <w:rPr>
                <w:bCs/>
                <w:szCs w:val="21"/>
              </w:rPr>
            </w:pPr>
            <w:r>
              <w:rPr>
                <w:rFonts w:hint="eastAsia"/>
                <w:bCs/>
                <w:szCs w:val="21"/>
              </w:rPr>
              <w:t>立式</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改装级</w:t>
            </w:r>
          </w:p>
        </w:tc>
        <w:tc>
          <w:tcPr>
            <w:tcW w:w="1584" w:type="dxa"/>
            <w:vMerge w:val="continue"/>
            <w:vAlign w:val="center"/>
          </w:tcPr>
          <w:p>
            <w:pPr>
              <w:rPr>
                <w:rFonts w:asciiTheme="minorEastAsia" w:hAnsiTheme="minorEastAsia"/>
                <w:bCs/>
                <w:snapToGrid w:val="0"/>
                <w:color w:val="000000" w:themeColor="text1"/>
                <w:sz w:val="18"/>
                <w:szCs w:val="18"/>
                <w14:textFill>
                  <w14:solidFill>
                    <w14:schemeClr w14:val="tx1"/>
                  </w14:solidFill>
                </w14:textFill>
              </w:rPr>
            </w:pPr>
          </w:p>
        </w:tc>
        <w:tc>
          <w:tcPr>
            <w:tcW w:w="1872" w:type="dxa"/>
            <w:vMerge w:val="continue"/>
            <w:vAlign w:val="center"/>
          </w:tcPr>
          <w:p>
            <w:pPr>
              <w:rPr>
                <w:rFonts w:asciiTheme="minorEastAsia" w:hAnsiTheme="minorEastAsia"/>
                <w:bCs/>
                <w:snapToGrid w:val="0"/>
                <w:color w:val="000000" w:themeColor="text1"/>
                <w:sz w:val="18"/>
                <w:szCs w:val="18"/>
                <w14:textFill>
                  <w14:solidFill>
                    <w14:schemeClr w14:val="tx1"/>
                  </w14:solidFill>
                </w14:textFill>
              </w:rPr>
            </w:pPr>
          </w:p>
        </w:tc>
        <w:tc>
          <w:tcPr>
            <w:tcW w:w="1836" w:type="dxa"/>
            <w:vMerge w:val="continue"/>
          </w:tcPr>
          <w:p>
            <w:pPr>
              <w:rPr>
                <w:rFonts w:asciiTheme="minorEastAsia" w:hAnsiTheme="minorEastAsia"/>
                <w:bCs/>
                <w:snapToGrid w:val="0"/>
                <w:color w:val="000000" w:themeColor="text1"/>
                <w:sz w:val="15"/>
                <w:szCs w:val="15"/>
                <w14:textFill>
                  <w14:solidFill>
                    <w14:schemeClr w14:val="tx1"/>
                  </w14:solidFill>
                </w14:textFill>
              </w:rPr>
            </w:pPr>
          </w:p>
        </w:tc>
        <w:tc>
          <w:tcPr>
            <w:tcW w:w="1800" w:type="dxa"/>
            <w:vMerge w:val="continue"/>
            <w:vAlign w:val="center"/>
          </w:tcPr>
          <w:p>
            <w:pPr>
              <w:rPr>
                <w:rFonts w:asciiTheme="minorEastAsia" w:hAnsiTheme="minorEastAsia"/>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76" w:type="dxa"/>
            <w:vMerge w:val="restart"/>
            <w:vAlign w:val="center"/>
          </w:tcPr>
          <w:p>
            <w:pPr>
              <w:jc w:val="center"/>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2</w:t>
            </w:r>
          </w:p>
        </w:tc>
        <w:tc>
          <w:tcPr>
            <w:tcW w:w="1140" w:type="dxa"/>
            <w:gridSpan w:val="2"/>
            <w:vAlign w:val="center"/>
          </w:tcPr>
          <w:p>
            <w:pPr>
              <w:jc w:val="center"/>
              <w:rPr>
                <w:rFonts w:ascii="华文仿宋" w:hAnsi="华文仿宋" w:eastAsia="华文仿宋" w:cs="华文仿宋"/>
                <w:bCs/>
                <w:color w:val="000000"/>
                <w:kern w:val="0"/>
                <w:sz w:val="32"/>
                <w:szCs w:val="32"/>
                <w:lang w:bidi="ar"/>
              </w:rPr>
            </w:pPr>
            <w:r>
              <w:rPr>
                <w:rFonts w:hint="eastAsia"/>
                <w:bCs/>
                <w:szCs w:val="21"/>
              </w:rPr>
              <w:t>Runabout</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1100 Stock</w:t>
            </w:r>
          </w:p>
        </w:tc>
        <w:tc>
          <w:tcPr>
            <w:tcW w:w="1584" w:type="dxa"/>
            <w:vMerge w:val="restart"/>
            <w:vAlign w:val="center"/>
          </w:tcPr>
          <w:p>
            <w:pPr>
              <w:rPr>
                <w:rFonts w:ascii="华文仿宋" w:hAnsi="华文仿宋" w:eastAsia="华文仿宋" w:cs="华文仿宋"/>
                <w:bCs/>
                <w:color w:val="000000"/>
                <w:kern w:val="0"/>
                <w:sz w:val="32"/>
                <w:szCs w:val="32"/>
                <w:lang w:bidi="ar"/>
              </w:rPr>
            </w:pPr>
            <w:r>
              <w:rPr>
                <w:rFonts w:hint="eastAsia" w:asciiTheme="minorEastAsia" w:hAnsiTheme="minorEastAsia"/>
                <w:bCs/>
                <w:snapToGrid w:val="0"/>
                <w:color w:val="000000" w:themeColor="text1"/>
                <w:sz w:val="18"/>
                <w:szCs w:val="18"/>
                <w14:textFill>
                  <w14:solidFill>
                    <w14:schemeClr w14:val="tx1"/>
                  </w14:solidFill>
                </w14:textFill>
              </w:rPr>
              <w:t>4冲自然吸气：≤1100cc</w:t>
            </w:r>
          </w:p>
        </w:tc>
        <w:tc>
          <w:tcPr>
            <w:tcW w:w="1872"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艇长≤354cm</w:t>
            </w:r>
          </w:p>
          <w:p>
            <w:pPr>
              <w:rPr>
                <w:rFonts w:ascii="华文仿宋" w:hAnsi="华文仿宋" w:eastAsia="华文仿宋" w:cs="华文仿宋"/>
                <w:bCs/>
                <w:color w:val="000000"/>
                <w:kern w:val="0"/>
                <w:sz w:val="32"/>
                <w:szCs w:val="32"/>
                <w:lang w:bidi="ar"/>
              </w:rPr>
            </w:pPr>
            <w:r>
              <w:rPr>
                <w:rFonts w:hint="eastAsia" w:asciiTheme="minorEastAsia" w:hAnsiTheme="minorEastAsia"/>
                <w:bCs/>
                <w:snapToGrid w:val="0"/>
                <w:color w:val="000000" w:themeColor="text1"/>
                <w:sz w:val="18"/>
                <w:szCs w:val="18"/>
                <w14:textFill>
                  <w14:solidFill>
                    <w14:schemeClr w14:val="tx1"/>
                  </w14:solidFill>
                </w14:textFill>
              </w:rPr>
              <w:t>艇宽=96.5cm～127cm</w:t>
            </w:r>
          </w:p>
        </w:tc>
        <w:tc>
          <w:tcPr>
            <w:tcW w:w="1836" w:type="dxa"/>
            <w:vMerge w:val="restart"/>
          </w:tcPr>
          <w:p>
            <w:pPr>
              <w:rPr>
                <w:rFonts w:ascii="华文仿宋" w:hAnsi="华文仿宋" w:eastAsia="华文仿宋" w:cs="华文仿宋"/>
                <w:bCs/>
                <w:color w:val="000000"/>
                <w:kern w:val="0"/>
                <w:sz w:val="15"/>
                <w:szCs w:val="15"/>
                <w:lang w:bidi="ar"/>
              </w:rPr>
            </w:pPr>
            <w:r>
              <w:rPr>
                <w:rFonts w:hint="eastAsia" w:asciiTheme="minorEastAsia" w:hAnsiTheme="minorEastAsia"/>
                <w:bCs/>
                <w:snapToGrid w:val="0"/>
                <w:color w:val="000000" w:themeColor="text1"/>
                <w:sz w:val="15"/>
                <w:szCs w:val="15"/>
                <w14:textFill>
                  <w14:solidFill>
                    <w14:schemeClr w14:val="tx1"/>
                  </w14:solidFill>
                </w14:textFill>
              </w:rPr>
              <w:t>详细参考IJSBA技术规则RUNABOUT6.1</w:t>
            </w:r>
            <w:r>
              <w:rPr>
                <w:rFonts w:hint="eastAsia" w:asciiTheme="minorEastAsia" w:hAnsiTheme="minorEastAsia"/>
                <w:bCs/>
                <w:snapToGrid w:val="0"/>
                <w:color w:val="000000" w:themeColor="text1"/>
                <w:sz w:val="15"/>
                <w:szCs w:val="15"/>
                <w14:textFill>
                  <w14:solidFill>
                    <w14:schemeClr w14:val="tx1"/>
                  </w14:solidFill>
                </w14:textFill>
              </w:rPr>
              <w:tab/>
            </w:r>
            <w:r>
              <w:rPr>
                <w:rFonts w:hint="eastAsia" w:asciiTheme="minorEastAsia" w:hAnsiTheme="minorEastAsia"/>
                <w:bCs/>
                <w:snapToGrid w:val="0"/>
                <w:color w:val="000000" w:themeColor="text1"/>
                <w:sz w:val="15"/>
                <w:szCs w:val="15"/>
                <w14:textFill>
                  <w14:solidFill>
                    <w14:schemeClr w14:val="tx1"/>
                  </w14:solidFill>
                </w14:textFill>
              </w:rPr>
              <w:t xml:space="preserve">RUNABOUT STOCKCLASSCOMPETITION  </w:t>
            </w:r>
          </w:p>
        </w:tc>
        <w:tc>
          <w:tcPr>
            <w:tcW w:w="1800"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艇型：Yamaha –ex；Sea-doo-spark</w:t>
            </w:r>
          </w:p>
          <w:p>
            <w:pPr>
              <w:rPr>
                <w:rFonts w:ascii="华文仿宋" w:hAnsi="华文仿宋" w:eastAsia="华文仿宋" w:cs="华文仿宋"/>
                <w:bCs/>
                <w:color w:val="000000"/>
                <w:kern w:val="0"/>
                <w:sz w:val="32"/>
                <w:szCs w:val="32"/>
                <w:lang w:bidi="ar"/>
              </w:rPr>
            </w:pPr>
            <w:r>
              <w:rPr>
                <w:rFonts w:hint="eastAsia" w:asciiTheme="minorEastAsia" w:hAnsiTheme="minorEastAsia"/>
                <w:bCs/>
                <w:snapToGrid w:val="0"/>
                <w:color w:val="000000" w:themeColor="text1"/>
                <w:sz w:val="18"/>
                <w:szCs w:val="18"/>
                <w14:textFill>
                  <w14:solidFill>
                    <w14:schemeClr w14:val="tx1"/>
                  </w14:solidFill>
                </w14:textFill>
              </w:rPr>
              <w:t>ECU允许改动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vAlign w:val="center"/>
          </w:tcPr>
          <w:p>
            <w:pPr>
              <w:jc w:val="center"/>
              <w:rPr>
                <w:rFonts w:ascii="华文仿宋" w:hAnsi="华文仿宋" w:eastAsia="华文仿宋" w:cs="华文仿宋"/>
                <w:color w:val="000000"/>
                <w:kern w:val="0"/>
                <w:sz w:val="32"/>
                <w:szCs w:val="32"/>
                <w:lang w:bidi="ar"/>
              </w:rPr>
            </w:pPr>
          </w:p>
        </w:tc>
        <w:tc>
          <w:tcPr>
            <w:tcW w:w="1140" w:type="dxa"/>
            <w:gridSpan w:val="2"/>
            <w:vAlign w:val="center"/>
          </w:tcPr>
          <w:p>
            <w:pPr>
              <w:jc w:val="center"/>
              <w:rPr>
                <w:rFonts w:ascii="华文仿宋" w:hAnsi="华文仿宋" w:eastAsia="华文仿宋" w:cs="华文仿宋"/>
                <w:bCs/>
                <w:color w:val="000000"/>
                <w:kern w:val="0"/>
                <w:sz w:val="32"/>
                <w:szCs w:val="32"/>
                <w:lang w:bidi="ar"/>
              </w:rPr>
            </w:pPr>
            <w:r>
              <w:rPr>
                <w:rFonts w:hint="eastAsia"/>
                <w:bCs/>
                <w:szCs w:val="21"/>
              </w:rPr>
              <w:t>坐式</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1100原厂</w:t>
            </w:r>
          </w:p>
        </w:tc>
        <w:tc>
          <w:tcPr>
            <w:tcW w:w="1584" w:type="dxa"/>
            <w:vMerge w:val="continue"/>
            <w:vAlign w:val="center"/>
          </w:tcPr>
          <w:p>
            <w:pPr>
              <w:jc w:val="center"/>
              <w:rPr>
                <w:rFonts w:ascii="华文仿宋" w:hAnsi="华文仿宋" w:eastAsia="华文仿宋" w:cs="华文仿宋"/>
                <w:bCs/>
                <w:color w:val="000000"/>
                <w:kern w:val="0"/>
                <w:sz w:val="32"/>
                <w:szCs w:val="32"/>
                <w:lang w:bidi="ar"/>
              </w:rPr>
            </w:pPr>
          </w:p>
        </w:tc>
        <w:tc>
          <w:tcPr>
            <w:tcW w:w="1872" w:type="dxa"/>
            <w:vMerge w:val="continue"/>
            <w:vAlign w:val="center"/>
          </w:tcPr>
          <w:p>
            <w:pPr>
              <w:jc w:val="center"/>
              <w:rPr>
                <w:rFonts w:ascii="华文仿宋" w:hAnsi="华文仿宋" w:eastAsia="华文仿宋" w:cs="华文仿宋"/>
                <w:bCs/>
                <w:color w:val="000000"/>
                <w:kern w:val="0"/>
                <w:sz w:val="32"/>
                <w:szCs w:val="32"/>
                <w:lang w:bidi="ar"/>
              </w:rPr>
            </w:pPr>
          </w:p>
        </w:tc>
        <w:tc>
          <w:tcPr>
            <w:tcW w:w="1836" w:type="dxa"/>
            <w:vMerge w:val="continue"/>
            <w:vAlign w:val="center"/>
          </w:tcPr>
          <w:p>
            <w:pPr>
              <w:jc w:val="center"/>
              <w:rPr>
                <w:rFonts w:ascii="华文仿宋" w:hAnsi="华文仿宋" w:eastAsia="华文仿宋" w:cs="华文仿宋"/>
                <w:bCs/>
                <w:color w:val="000000"/>
                <w:kern w:val="0"/>
                <w:sz w:val="15"/>
                <w:szCs w:val="15"/>
                <w:lang w:bidi="ar"/>
              </w:rPr>
            </w:pPr>
          </w:p>
        </w:tc>
        <w:tc>
          <w:tcPr>
            <w:tcW w:w="1800" w:type="dxa"/>
            <w:vMerge w:val="continue"/>
            <w:vAlign w:val="center"/>
          </w:tcPr>
          <w:p>
            <w:pPr>
              <w:jc w:val="center"/>
              <w:rPr>
                <w:rFonts w:ascii="华文仿宋" w:hAnsi="华文仿宋" w:eastAsia="华文仿宋" w:cs="华文仿宋"/>
                <w:bCs/>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576" w:type="dxa"/>
            <w:vMerge w:val="restart"/>
            <w:vAlign w:val="center"/>
          </w:tcPr>
          <w:p>
            <w:pPr>
              <w:jc w:val="center"/>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3</w:t>
            </w:r>
          </w:p>
        </w:tc>
        <w:tc>
          <w:tcPr>
            <w:tcW w:w="1140" w:type="dxa"/>
            <w:gridSpan w:val="2"/>
            <w:vAlign w:val="center"/>
          </w:tcPr>
          <w:p>
            <w:pPr>
              <w:jc w:val="center"/>
              <w:rPr>
                <w:rFonts w:ascii="华文仿宋" w:hAnsi="华文仿宋" w:eastAsia="华文仿宋" w:cs="华文仿宋"/>
                <w:bCs/>
                <w:color w:val="000000"/>
                <w:kern w:val="0"/>
                <w:sz w:val="32"/>
                <w:szCs w:val="32"/>
                <w:lang w:bidi="ar"/>
              </w:rPr>
            </w:pPr>
            <w:r>
              <w:rPr>
                <w:rFonts w:hint="eastAsia"/>
                <w:bCs/>
                <w:szCs w:val="21"/>
              </w:rPr>
              <w:t>Runabout</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Limited</w:t>
            </w:r>
          </w:p>
        </w:tc>
        <w:tc>
          <w:tcPr>
            <w:tcW w:w="1584"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4冲：≤2000cc</w:t>
            </w:r>
          </w:p>
        </w:tc>
        <w:tc>
          <w:tcPr>
            <w:tcW w:w="1872" w:type="dxa"/>
            <w:vMerge w:val="restart"/>
            <w:vAlign w:val="center"/>
          </w:tcPr>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艇长≤354cm</w:t>
            </w:r>
          </w:p>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艇宽=96.5cm～127cm</w:t>
            </w:r>
          </w:p>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净重＞272kg</w:t>
            </w:r>
          </w:p>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最大减幅 -15.88kg</w:t>
            </w:r>
          </w:p>
        </w:tc>
        <w:tc>
          <w:tcPr>
            <w:tcW w:w="1836" w:type="dxa"/>
            <w:vMerge w:val="restart"/>
          </w:tcPr>
          <w:p>
            <w:pPr>
              <w:rPr>
                <w:rFonts w:asciiTheme="minorEastAsia" w:hAnsiTheme="minorEastAsia"/>
                <w:bCs/>
                <w:snapToGrid w:val="0"/>
                <w:color w:val="000000" w:themeColor="text1"/>
                <w:sz w:val="15"/>
                <w:szCs w:val="15"/>
                <w14:textFill>
                  <w14:solidFill>
                    <w14:schemeClr w14:val="tx1"/>
                  </w14:solidFill>
                </w14:textFill>
              </w:rPr>
            </w:pPr>
            <w:r>
              <w:rPr>
                <w:rFonts w:hint="eastAsia" w:asciiTheme="minorEastAsia" w:hAnsiTheme="minorEastAsia"/>
                <w:bCs/>
                <w:snapToGrid w:val="0"/>
                <w:color w:val="000000" w:themeColor="text1"/>
                <w:sz w:val="15"/>
                <w:szCs w:val="15"/>
                <w14:textFill>
                  <w14:solidFill>
                    <w14:schemeClr w14:val="tx1"/>
                  </w14:solidFill>
                </w14:textFill>
              </w:rPr>
              <w:t>详细参考IJSBA技术规则 RUNABOUT LIMITED</w:t>
            </w:r>
          </w:p>
          <w:p>
            <w:pPr>
              <w:rPr>
                <w:rFonts w:asciiTheme="minorEastAsia" w:hAnsiTheme="minorEastAsia"/>
                <w:bCs/>
                <w:snapToGrid w:val="0"/>
                <w:color w:val="000000" w:themeColor="text1"/>
                <w:sz w:val="15"/>
                <w:szCs w:val="15"/>
                <w14:textFill>
                  <w14:solidFill>
                    <w14:schemeClr w14:val="tx1"/>
                  </w14:solidFill>
                </w14:textFill>
              </w:rPr>
            </w:pPr>
            <w:r>
              <w:rPr>
                <w:rFonts w:hint="eastAsia" w:asciiTheme="minorEastAsia" w:hAnsiTheme="minorEastAsia"/>
                <w:bCs/>
                <w:snapToGrid w:val="0"/>
                <w:color w:val="000000" w:themeColor="text1"/>
                <w:sz w:val="15"/>
                <w:szCs w:val="15"/>
                <w14:textFill>
                  <w14:solidFill>
                    <w14:schemeClr w14:val="tx1"/>
                  </w14:solidFill>
                </w14:textFill>
              </w:rPr>
              <w:t>7.1 LIMITED  CLASS COMPETITION</w:t>
            </w:r>
          </w:p>
        </w:tc>
        <w:tc>
          <w:tcPr>
            <w:tcW w:w="1800" w:type="dxa"/>
            <w:vMerge w:val="restart"/>
          </w:tcPr>
          <w:p>
            <w:pPr>
              <w:spacing w:line="240" w:lineRule="exact"/>
              <w:rPr>
                <w:rFonts w:asciiTheme="minorEastAsia" w:hAnsiTheme="minorEastAsia"/>
                <w:bCs/>
                <w:snapToGrid w:val="0"/>
                <w:color w:val="000000" w:themeColor="text1"/>
                <w:sz w:val="15"/>
                <w:szCs w:val="15"/>
                <w14:textFill>
                  <w14:solidFill>
                    <w14:schemeClr w14:val="tx1"/>
                  </w14:solidFill>
                </w14:textFill>
              </w:rPr>
            </w:pPr>
            <w:r>
              <w:rPr>
                <w:rFonts w:hint="eastAsia" w:asciiTheme="minorEastAsia" w:hAnsiTheme="minorEastAsia"/>
                <w:bCs/>
                <w:snapToGrid w:val="0"/>
                <w:color w:val="000000" w:themeColor="text1"/>
                <w:sz w:val="15"/>
                <w:szCs w:val="15"/>
                <w14:textFill>
                  <w14:solidFill>
                    <w14:schemeClr w14:val="tx1"/>
                  </w14:solidFill>
                </w14:textFill>
              </w:rPr>
              <w:t>1.增压器叶轮外壳必须保持原厂配置。2.中冷器可以改装或使用副厂件.</w:t>
            </w:r>
          </w:p>
          <w:p>
            <w:pPr>
              <w:spacing w:line="240" w:lineRule="exact"/>
              <w:rPr>
                <w:rFonts w:asciiTheme="minorEastAsia" w:hAnsiTheme="minorEastAsia"/>
                <w:bCs/>
                <w:snapToGrid w:val="0"/>
                <w:color w:val="000000" w:themeColor="text1"/>
                <w:sz w:val="15"/>
                <w:szCs w:val="15"/>
                <w14:textFill>
                  <w14:solidFill>
                    <w14:schemeClr w14:val="tx1"/>
                  </w14:solidFill>
                </w14:textFill>
              </w:rPr>
            </w:pPr>
            <w:r>
              <w:rPr>
                <w:rFonts w:hint="eastAsia" w:asciiTheme="minorEastAsia" w:hAnsiTheme="minorEastAsia"/>
                <w:bCs/>
                <w:snapToGrid w:val="0"/>
                <w:color w:val="000000" w:themeColor="text1"/>
                <w:sz w:val="15"/>
                <w:szCs w:val="15"/>
                <w14:textFill>
                  <w14:solidFill>
                    <w14:schemeClr w14:val="tx1"/>
                  </w14:solidFill>
                </w14:textFill>
              </w:rPr>
              <w:t>3.ECU允许改动或使用副厂件。但必须通过原厂连接件连接。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576" w:type="dxa"/>
            <w:vMerge w:val="continue"/>
            <w:vAlign w:val="center"/>
          </w:tcPr>
          <w:p>
            <w:pPr>
              <w:jc w:val="center"/>
              <w:rPr>
                <w:rFonts w:ascii="华文仿宋" w:hAnsi="华文仿宋" w:eastAsia="华文仿宋" w:cs="华文仿宋"/>
                <w:color w:val="000000"/>
                <w:kern w:val="0"/>
                <w:sz w:val="32"/>
                <w:szCs w:val="32"/>
                <w:lang w:bidi="ar"/>
              </w:rPr>
            </w:pPr>
          </w:p>
        </w:tc>
        <w:tc>
          <w:tcPr>
            <w:tcW w:w="1140" w:type="dxa"/>
            <w:gridSpan w:val="2"/>
            <w:vAlign w:val="center"/>
          </w:tcPr>
          <w:p>
            <w:pPr>
              <w:jc w:val="center"/>
              <w:rPr>
                <w:rFonts w:ascii="华文仿宋" w:hAnsi="华文仿宋" w:eastAsia="华文仿宋" w:cs="华文仿宋"/>
                <w:bCs/>
                <w:color w:val="000000"/>
                <w:kern w:val="0"/>
                <w:sz w:val="32"/>
                <w:szCs w:val="32"/>
                <w:lang w:bidi="ar"/>
              </w:rPr>
            </w:pPr>
            <w:r>
              <w:rPr>
                <w:rFonts w:hint="eastAsia"/>
                <w:bCs/>
                <w:szCs w:val="21"/>
              </w:rPr>
              <w:t>坐式</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限制级</w:t>
            </w:r>
          </w:p>
        </w:tc>
        <w:tc>
          <w:tcPr>
            <w:tcW w:w="1584" w:type="dxa"/>
            <w:vMerge w:val="continue"/>
            <w:vAlign w:val="center"/>
          </w:tcPr>
          <w:p>
            <w:pPr>
              <w:rPr>
                <w:rFonts w:asciiTheme="minorEastAsia" w:hAnsiTheme="minorEastAsia"/>
                <w:bCs/>
                <w:snapToGrid w:val="0"/>
                <w:color w:val="000000" w:themeColor="text1"/>
                <w:sz w:val="18"/>
                <w:szCs w:val="18"/>
                <w14:textFill>
                  <w14:solidFill>
                    <w14:schemeClr w14:val="tx1"/>
                  </w14:solidFill>
                </w14:textFill>
              </w:rPr>
            </w:pPr>
          </w:p>
        </w:tc>
        <w:tc>
          <w:tcPr>
            <w:tcW w:w="1872" w:type="dxa"/>
            <w:vMerge w:val="continue"/>
            <w:vAlign w:val="center"/>
          </w:tcPr>
          <w:p>
            <w:pPr>
              <w:rPr>
                <w:rFonts w:asciiTheme="minorEastAsia" w:hAnsiTheme="minorEastAsia"/>
                <w:bCs/>
                <w:snapToGrid w:val="0"/>
                <w:color w:val="000000" w:themeColor="text1"/>
                <w:sz w:val="18"/>
                <w:szCs w:val="18"/>
                <w14:textFill>
                  <w14:solidFill>
                    <w14:schemeClr w14:val="tx1"/>
                  </w14:solidFill>
                </w14:textFill>
              </w:rPr>
            </w:pPr>
          </w:p>
        </w:tc>
        <w:tc>
          <w:tcPr>
            <w:tcW w:w="1836" w:type="dxa"/>
            <w:vMerge w:val="continue"/>
            <w:vAlign w:val="center"/>
          </w:tcPr>
          <w:p>
            <w:pPr>
              <w:rPr>
                <w:rFonts w:asciiTheme="minorEastAsia" w:hAnsiTheme="minorEastAsia"/>
                <w:bCs/>
                <w:snapToGrid w:val="0"/>
                <w:color w:val="000000" w:themeColor="text1"/>
                <w:sz w:val="15"/>
                <w:szCs w:val="15"/>
                <w14:textFill>
                  <w14:solidFill>
                    <w14:schemeClr w14:val="tx1"/>
                  </w14:solidFill>
                </w14:textFill>
              </w:rPr>
            </w:pPr>
          </w:p>
        </w:tc>
        <w:tc>
          <w:tcPr>
            <w:tcW w:w="1800" w:type="dxa"/>
            <w:vMerge w:val="continue"/>
            <w:vAlign w:val="center"/>
          </w:tcPr>
          <w:p>
            <w:pPr>
              <w:rPr>
                <w:rFonts w:asciiTheme="minorEastAsia" w:hAnsiTheme="minorEastAsia"/>
                <w:bCs/>
                <w:snapToGrid w:val="0"/>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576" w:type="dxa"/>
            <w:vMerge w:val="restart"/>
            <w:vAlign w:val="center"/>
          </w:tcPr>
          <w:p>
            <w:pPr>
              <w:jc w:val="center"/>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4</w:t>
            </w:r>
          </w:p>
        </w:tc>
        <w:tc>
          <w:tcPr>
            <w:tcW w:w="1140" w:type="dxa"/>
            <w:gridSpan w:val="2"/>
            <w:vAlign w:val="center"/>
          </w:tcPr>
          <w:p>
            <w:pPr>
              <w:jc w:val="center"/>
              <w:rPr>
                <w:bCs/>
                <w:szCs w:val="21"/>
              </w:rPr>
            </w:pPr>
            <w:r>
              <w:rPr>
                <w:rFonts w:hint="eastAsia"/>
                <w:bCs/>
                <w:szCs w:val="21"/>
              </w:rPr>
              <w:t>Endurance</w:t>
            </w:r>
          </w:p>
          <w:p>
            <w:pPr>
              <w:jc w:val="center"/>
              <w:rPr>
                <w:rFonts w:ascii="华文仿宋" w:hAnsi="华文仿宋" w:eastAsia="华文仿宋" w:cs="华文仿宋"/>
                <w:bCs/>
                <w:color w:val="000000"/>
                <w:kern w:val="0"/>
                <w:sz w:val="32"/>
                <w:szCs w:val="32"/>
                <w:lang w:bidi="ar"/>
              </w:rPr>
            </w:pPr>
            <w:r>
              <w:rPr>
                <w:rFonts w:hint="eastAsia"/>
                <w:bCs/>
                <w:szCs w:val="21"/>
              </w:rPr>
              <w:t>Runabout</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Open</w:t>
            </w:r>
          </w:p>
        </w:tc>
        <w:tc>
          <w:tcPr>
            <w:tcW w:w="1584"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4冲：≤2000cc</w:t>
            </w:r>
          </w:p>
        </w:tc>
        <w:tc>
          <w:tcPr>
            <w:tcW w:w="1872" w:type="dxa"/>
            <w:vMerge w:val="restart"/>
            <w:vAlign w:val="center"/>
          </w:tcPr>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艇长≤394cm</w:t>
            </w:r>
          </w:p>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艇宽＞96.5cm</w:t>
            </w:r>
          </w:p>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净重＞272kg</w:t>
            </w:r>
          </w:p>
          <w:p>
            <w:pPr>
              <w:spacing w:line="240" w:lineRule="exact"/>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最大减幅 -15.88kg</w:t>
            </w:r>
          </w:p>
        </w:tc>
        <w:tc>
          <w:tcPr>
            <w:tcW w:w="1836" w:type="dxa"/>
            <w:vMerge w:val="restart"/>
            <w:vAlign w:val="center"/>
          </w:tcPr>
          <w:p>
            <w:pPr>
              <w:rPr>
                <w:rFonts w:asciiTheme="minorEastAsia" w:hAnsiTheme="minorEastAsia"/>
                <w:bCs/>
                <w:snapToGrid w:val="0"/>
                <w:color w:val="000000" w:themeColor="text1"/>
                <w:sz w:val="15"/>
                <w:szCs w:val="15"/>
                <w14:textFill>
                  <w14:solidFill>
                    <w14:schemeClr w14:val="tx1"/>
                  </w14:solidFill>
                </w14:textFill>
              </w:rPr>
            </w:pPr>
            <w:r>
              <w:rPr>
                <w:rFonts w:hint="eastAsia" w:asciiTheme="minorEastAsia" w:hAnsiTheme="minorEastAsia"/>
                <w:bCs/>
                <w:snapToGrid w:val="0"/>
                <w:color w:val="000000" w:themeColor="text1"/>
                <w:sz w:val="15"/>
                <w:szCs w:val="15"/>
                <w14:textFill>
                  <w14:solidFill>
                    <w14:schemeClr w14:val="tx1"/>
                  </w14:solidFill>
                </w14:textFill>
              </w:rPr>
              <w:t>详细参考IJSBA技术规RUNABOUT8.1OPENCLASSCOMPETITION</w:t>
            </w:r>
          </w:p>
        </w:tc>
        <w:tc>
          <w:tcPr>
            <w:tcW w:w="1800" w:type="dxa"/>
            <w:vMerge w:val="restart"/>
            <w:vAlign w:val="center"/>
          </w:tcPr>
          <w:p>
            <w:pPr>
              <w:rPr>
                <w:rFonts w:asciiTheme="minorEastAsia" w:hAnsiTheme="minorEastAsia"/>
                <w:bCs/>
                <w:snapToGrid w:val="0"/>
                <w:color w:val="000000" w:themeColor="text1"/>
                <w:sz w:val="18"/>
                <w:szCs w:val="18"/>
                <w14:textFill>
                  <w14:solidFill>
                    <w14:schemeClr w14:val="tx1"/>
                  </w14:solidFill>
                </w14:textFill>
              </w:rPr>
            </w:pPr>
            <w:r>
              <w:rPr>
                <w:rFonts w:hint="eastAsia" w:asciiTheme="minorEastAsia" w:hAnsiTheme="minorEastAsia"/>
                <w:bCs/>
                <w:snapToGrid w:val="0"/>
                <w:color w:val="000000" w:themeColor="text1"/>
                <w:sz w:val="18"/>
                <w:szCs w:val="18"/>
                <w14:textFill>
                  <w14:solidFill>
                    <w14:schemeClr w14:val="tx1"/>
                  </w14:solidFill>
                </w14:textFill>
              </w:rPr>
              <w:t>IJSBA坐式公开级标准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Merge w:val="continue"/>
            <w:vAlign w:val="center"/>
          </w:tcPr>
          <w:p>
            <w:pPr>
              <w:jc w:val="center"/>
              <w:rPr>
                <w:rFonts w:ascii="华文仿宋" w:hAnsi="华文仿宋" w:eastAsia="华文仿宋" w:cs="华文仿宋"/>
                <w:color w:val="000000"/>
                <w:kern w:val="0"/>
                <w:sz w:val="32"/>
                <w:szCs w:val="32"/>
                <w:lang w:bidi="ar"/>
              </w:rPr>
            </w:pPr>
          </w:p>
        </w:tc>
        <w:tc>
          <w:tcPr>
            <w:tcW w:w="1140" w:type="dxa"/>
            <w:gridSpan w:val="2"/>
            <w:vAlign w:val="center"/>
          </w:tcPr>
          <w:p>
            <w:pPr>
              <w:jc w:val="center"/>
              <w:rPr>
                <w:rFonts w:ascii="华文仿宋" w:hAnsi="华文仿宋" w:eastAsia="华文仿宋" w:cs="华文仿宋"/>
                <w:bCs/>
                <w:color w:val="000000"/>
                <w:kern w:val="0"/>
                <w:sz w:val="32"/>
                <w:szCs w:val="32"/>
                <w:lang w:bidi="ar"/>
              </w:rPr>
            </w:pPr>
            <w:r>
              <w:rPr>
                <w:rFonts w:hint="eastAsia"/>
                <w:bCs/>
                <w:szCs w:val="21"/>
              </w:rPr>
              <w:t>坐式耐力</w:t>
            </w:r>
          </w:p>
        </w:tc>
        <w:tc>
          <w:tcPr>
            <w:tcW w:w="1176" w:type="dxa"/>
            <w:vAlign w:val="center"/>
          </w:tcPr>
          <w:p>
            <w:pPr>
              <w:jc w:val="center"/>
              <w:rPr>
                <w:rFonts w:ascii="华文仿宋" w:hAnsi="华文仿宋" w:eastAsia="华文仿宋" w:cs="华文仿宋"/>
                <w:bCs/>
                <w:color w:val="000000"/>
                <w:kern w:val="0"/>
                <w:sz w:val="32"/>
                <w:szCs w:val="32"/>
                <w:lang w:bidi="ar"/>
              </w:rPr>
            </w:pPr>
            <w:r>
              <w:rPr>
                <w:rFonts w:hint="eastAsia"/>
                <w:bCs/>
                <w:szCs w:val="21"/>
              </w:rPr>
              <w:t>公开</w:t>
            </w:r>
          </w:p>
        </w:tc>
        <w:tc>
          <w:tcPr>
            <w:tcW w:w="1584" w:type="dxa"/>
            <w:vMerge w:val="continue"/>
            <w:vAlign w:val="center"/>
          </w:tcPr>
          <w:p>
            <w:pPr>
              <w:jc w:val="center"/>
              <w:rPr>
                <w:rFonts w:ascii="华文仿宋" w:hAnsi="华文仿宋" w:eastAsia="华文仿宋" w:cs="华文仿宋"/>
                <w:color w:val="000000"/>
                <w:kern w:val="0"/>
                <w:sz w:val="32"/>
                <w:szCs w:val="32"/>
                <w:lang w:bidi="ar"/>
              </w:rPr>
            </w:pPr>
          </w:p>
        </w:tc>
        <w:tc>
          <w:tcPr>
            <w:tcW w:w="1872" w:type="dxa"/>
            <w:vMerge w:val="continue"/>
            <w:vAlign w:val="center"/>
          </w:tcPr>
          <w:p>
            <w:pPr>
              <w:jc w:val="center"/>
              <w:rPr>
                <w:rFonts w:ascii="华文仿宋" w:hAnsi="华文仿宋" w:eastAsia="华文仿宋" w:cs="华文仿宋"/>
                <w:color w:val="000000"/>
                <w:kern w:val="0"/>
                <w:sz w:val="32"/>
                <w:szCs w:val="32"/>
                <w:lang w:bidi="ar"/>
              </w:rPr>
            </w:pPr>
          </w:p>
        </w:tc>
        <w:tc>
          <w:tcPr>
            <w:tcW w:w="1836" w:type="dxa"/>
            <w:vMerge w:val="continue"/>
            <w:vAlign w:val="center"/>
          </w:tcPr>
          <w:p>
            <w:pPr>
              <w:jc w:val="center"/>
              <w:rPr>
                <w:rFonts w:ascii="华文仿宋" w:hAnsi="华文仿宋" w:eastAsia="华文仿宋" w:cs="华文仿宋"/>
                <w:color w:val="000000"/>
                <w:kern w:val="0"/>
                <w:sz w:val="32"/>
                <w:szCs w:val="32"/>
                <w:lang w:bidi="ar"/>
              </w:rPr>
            </w:pPr>
          </w:p>
        </w:tc>
        <w:tc>
          <w:tcPr>
            <w:tcW w:w="1800" w:type="dxa"/>
            <w:vMerge w:val="continue"/>
            <w:vAlign w:val="center"/>
          </w:tcPr>
          <w:p>
            <w:pPr>
              <w:jc w:val="center"/>
              <w:rPr>
                <w:rFonts w:ascii="华文仿宋" w:hAnsi="华文仿宋" w:eastAsia="华文仿宋" w:cs="华文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gridSpan w:val="2"/>
            <w:vAlign w:val="center"/>
          </w:tcPr>
          <w:p>
            <w:pPr>
              <w:jc w:val="center"/>
              <w:rPr>
                <w:rFonts w:ascii="华文仿宋" w:hAnsi="华文仿宋" w:eastAsia="华文仿宋" w:cs="华文仿宋"/>
                <w:color w:val="000000"/>
                <w:kern w:val="0"/>
                <w:sz w:val="32"/>
                <w:szCs w:val="32"/>
                <w:lang w:bidi="ar"/>
              </w:rPr>
            </w:pPr>
            <w:r>
              <w:rPr>
                <w:rFonts w:hint="eastAsia"/>
                <w:b/>
                <w:szCs w:val="21"/>
              </w:rPr>
              <w:t>备 注</w:t>
            </w:r>
          </w:p>
        </w:tc>
        <w:tc>
          <w:tcPr>
            <w:tcW w:w="9132" w:type="dxa"/>
            <w:gridSpan w:val="6"/>
            <w:vAlign w:val="center"/>
          </w:tcPr>
          <w:p>
            <w:pPr>
              <w:rPr>
                <w:rFonts w:ascii="Arial" w:hAnsi="Arial"/>
                <w:b/>
                <w:snapToGrid w:val="0"/>
                <w:szCs w:val="21"/>
              </w:rPr>
            </w:pPr>
            <w:r>
              <w:rPr>
                <w:rFonts w:hint="eastAsia" w:ascii="Arial" w:hAnsi="Arial"/>
                <w:b/>
                <w:snapToGrid w:val="0"/>
                <w:szCs w:val="21"/>
              </w:rPr>
              <w:t>1、</w:t>
            </w:r>
            <w:r>
              <w:rPr>
                <w:rFonts w:hint="eastAsia"/>
                <w:b/>
                <w:szCs w:val="21"/>
              </w:rPr>
              <w:t>亚运会将采用IJSBA竞赛规则，以IJSBA英文版为准。</w:t>
            </w:r>
          </w:p>
          <w:p>
            <w:pPr>
              <w:rPr>
                <w:rFonts w:ascii="华文仿宋" w:hAnsi="华文仿宋" w:eastAsia="华文仿宋" w:cs="华文仿宋"/>
                <w:color w:val="000000"/>
                <w:kern w:val="0"/>
                <w:sz w:val="32"/>
                <w:szCs w:val="32"/>
                <w:lang w:bidi="ar"/>
              </w:rPr>
            </w:pPr>
            <w:r>
              <w:rPr>
                <w:rFonts w:hint="eastAsia"/>
                <w:b/>
                <w:szCs w:val="21"/>
              </w:rPr>
              <w:t>2、</w:t>
            </w:r>
            <w:r>
              <w:rPr>
                <w:rFonts w:hint="eastAsia" w:ascii="Arial" w:hAnsi="Arial"/>
                <w:b/>
                <w:snapToGrid w:val="0"/>
                <w:szCs w:val="21"/>
              </w:rPr>
              <w:t>所有的水上摩托必须严格保持原厂级配置，除非有竞赛规则特别许可的替代或改装，规则要求之外的任何改装或更换都不允许。</w:t>
            </w:r>
          </w:p>
        </w:tc>
      </w:tr>
    </w:tbl>
    <w:p>
      <w:p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（三）器材检查：赛前将进行器材和装备检查，符合要求方可参赛，不符合规定要求的器材不能参加比赛。赛后将进行检查或抽查，违反规则规定者将取消比赛资格和比赛成绩。</w:t>
      </w:r>
    </w:p>
    <w:p>
      <w:p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六、比赛办法：</w:t>
      </w:r>
    </w:p>
    <w:p>
      <w:p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一）所有场地赛项目均由一轮排位赛和四轮正赛组成。场地大小为3公里左右，每轮正赛比赛时间预计为10～15分钟。排位赛为单艇出发，排位赛取前16名进入正赛。排位赛的出发顺序随机抽签，排位赛成绩决定正赛第一轮选择出发位置的顺序，其它轮次根据前一轮的成绩确定。所有正赛得分相加作为最终成绩，如得分和相同，则以最好名次确定，如再相同，则以最后一轮名次确定最终名次。</w:t>
      </w:r>
    </w:p>
    <w:tbl>
      <w:tblPr>
        <w:tblStyle w:val="7"/>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420"/>
        <w:gridCol w:w="1420"/>
        <w:gridCol w:w="1420"/>
        <w:gridCol w:w="1420"/>
        <w:gridCol w:w="1421"/>
        <w:gridCol w:w="14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排名</w:t>
            </w:r>
          </w:p>
        </w:tc>
        <w:tc>
          <w:tcPr>
            <w:tcW w:w="14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分数</w:t>
            </w:r>
          </w:p>
        </w:tc>
        <w:tc>
          <w:tcPr>
            <w:tcW w:w="14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排名</w:t>
            </w:r>
          </w:p>
        </w:tc>
        <w:tc>
          <w:tcPr>
            <w:tcW w:w="14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分数</w:t>
            </w:r>
          </w:p>
        </w:tc>
        <w:tc>
          <w:tcPr>
            <w:tcW w:w="1421"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排名</w:t>
            </w:r>
          </w:p>
        </w:tc>
        <w:tc>
          <w:tcPr>
            <w:tcW w:w="1421"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分数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60</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8</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30</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15</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2</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53</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9</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27</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16</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3</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48</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10</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24</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17</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4</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43</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11</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22</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18</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5</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39</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12</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20</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19</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6</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36</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13</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18</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20</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7</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33</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14</w:t>
            </w:r>
          </w:p>
        </w:tc>
        <w:tc>
          <w:tcPr>
            <w:tcW w:w="1420"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16</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 </w:t>
            </w:r>
          </w:p>
        </w:tc>
        <w:tc>
          <w:tcPr>
            <w:tcW w:w="1421" w:type="dxa"/>
            <w:tcBorders>
              <w:top w:val="nil"/>
              <w:left w:val="nil"/>
              <w:bottom w:val="single" w:color="auto" w:sz="8" w:space="0"/>
              <w:right w:val="single" w:color="auto" w:sz="8" w:space="0"/>
            </w:tcBorders>
            <w:tcMar>
              <w:left w:w="108" w:type="dxa"/>
              <w:right w:w="108" w:type="dxa"/>
            </w:tcMar>
            <w:vAlign w:val="center"/>
          </w:tcPr>
          <w:p>
            <w:pPr>
              <w:widowControl/>
              <w:spacing w:before="100" w:beforeAutospacing="1" w:after="100" w:afterAutospacing="1" w:line="20" w:lineRule="atLeast"/>
              <w:jc w:val="left"/>
              <w:rPr>
                <w:rFonts w:ascii="华文仿宋" w:hAnsi="华文仿宋" w:eastAsia="华文仿宋" w:cs="华文仿宋"/>
                <w:sz w:val="32"/>
                <w:szCs w:val="32"/>
              </w:rPr>
            </w:pPr>
            <w:r>
              <w:rPr>
                <w:rFonts w:hint="eastAsia" w:ascii="华文仿宋" w:hAnsi="华文仿宋" w:eastAsia="华文仿宋" w:cs="华文仿宋"/>
                <w:kern w:val="0"/>
                <w:sz w:val="32"/>
                <w:szCs w:val="32"/>
                <w:lang w:bidi="ar"/>
              </w:rPr>
              <w:t> </w:t>
            </w:r>
          </w:p>
        </w:tc>
      </w:tr>
    </w:tbl>
    <w:p>
      <w:pPr>
        <w:numPr>
          <w:ilvl w:val="0"/>
          <w:numId w:val="5"/>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拉力赛由一轮排位赛和三轮正赛组成。场地大小为6.5公里左右，每轮正赛比赛时间预计为35～45分钟。其它竞赛方法与场地赛相同。</w:t>
      </w:r>
    </w:p>
    <w:p>
      <w:pPr>
        <w:numPr>
          <w:ilvl w:val="0"/>
          <w:numId w:val="5"/>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所有项目采用沙滩起航，坐式水上摩托发艇时允许有两名扶艇人员。立式水上摩托发艇时只允许有一名扶艇人员，且运动员必须站立在水中。</w:t>
      </w:r>
    </w:p>
    <w:p>
      <w:pPr>
        <w:numPr>
          <w:ilvl w:val="0"/>
          <w:numId w:val="5"/>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如因天气原因或其它不可抗力因素影响，所有赛程无法正常完成，将以实际完成的正赛轮次作为最终成绩。如果没有进行正赛，将以排位赛成绩作为最终成绩。</w:t>
      </w:r>
    </w:p>
    <w:p>
      <w:pPr>
        <w:numPr>
          <w:ilvl w:val="0"/>
          <w:numId w:val="6"/>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比赛期间出现严重犯规违反规则和体育道德的特别处罚</w:t>
      </w:r>
    </w:p>
    <w:p>
      <w:pPr>
        <w:numPr>
          <w:ilvl w:val="0"/>
          <w:numId w:val="7"/>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本次摩托艇比赛为个人赛，在比赛过程中的任何团队配合都属于故意犯规行为和违反体育道德行为，其中包括任何通过影响他人和本人不当行为使本队队员受益的行为。上述行为一经查实，将视其情节严重程度，对该轮本队成绩最好的队员给予成绩减一圈、取消该轮比赛成绩或取消比赛资格的处罚。</w:t>
      </w:r>
    </w:p>
    <w:p>
      <w:pPr>
        <w:numPr>
          <w:ilvl w:val="0"/>
          <w:numId w:val="7"/>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比赛中发生故意冲撞等严重违反规则和体育道德的行为，取消犯规运动员所在单位在该项目上的所有运动员的比赛资格。</w:t>
      </w:r>
    </w:p>
    <w:p>
      <w:pPr>
        <w:numPr>
          <w:ilvl w:val="0"/>
          <w:numId w:val="7"/>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在陆地上任何违背体育道德行为或其它不文明行为，将视其情节严重程度，对涉事运动员给予单轮成绩减一圈、取消单轮比赛成绩或取消比赛资格的处罚。</w:t>
      </w:r>
    </w:p>
    <w:p>
      <w:pPr>
        <w:numPr>
          <w:ilvl w:val="0"/>
          <w:numId w:val="6"/>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安全规定：按照规则、规程、细则和大会有关规定执行。</w:t>
      </w:r>
    </w:p>
    <w:p>
      <w:pPr>
        <w:numPr>
          <w:ilvl w:val="0"/>
          <w:numId w:val="6"/>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费用和保险：所用参赛队伍参赛器材、装备和费用自理，组委会将提供优惠价格酒店名单供参赛队选择。每名参赛队员必须办理人身意外伤害保险（保额不得低于</w:t>
      </w:r>
      <w:r>
        <w:rPr>
          <w:rFonts w:ascii="华文仿宋" w:hAnsi="华文仿宋" w:eastAsia="华文仿宋" w:cs="华文仿宋"/>
          <w:color w:val="000000"/>
          <w:kern w:val="0"/>
          <w:sz w:val="32"/>
          <w:szCs w:val="32"/>
          <w:lang w:bidi="ar"/>
        </w:rPr>
        <w:t>50</w:t>
      </w:r>
      <w:r>
        <w:rPr>
          <w:rFonts w:hint="eastAsia" w:ascii="华文仿宋" w:hAnsi="华文仿宋" w:eastAsia="华文仿宋" w:cs="华文仿宋"/>
          <w:color w:val="000000"/>
          <w:kern w:val="0"/>
          <w:sz w:val="32"/>
          <w:szCs w:val="32"/>
          <w:lang w:bidi="ar"/>
        </w:rPr>
        <w:t>万人民币），报到时提交保单复印件，否则不得参赛。</w:t>
      </w:r>
    </w:p>
    <w:p>
      <w:pPr>
        <w:numPr>
          <w:ilvl w:val="0"/>
          <w:numId w:val="6"/>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比赛选聘的裁判：将聘用政治素质好，业务水平高的裁判担任执法工作。同时，重要裁判岗位如器材技术检查官，将聘请外籍裁判执法，以弥补中方器材技术检查员水平不高的不足，以确保比赛公平公正公开进行。</w:t>
      </w:r>
    </w:p>
    <w:p>
      <w:pPr>
        <w:numPr>
          <w:ilvl w:val="0"/>
          <w:numId w:val="6"/>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选拔比赛监督小组：将由中心、省市、航校等有关领导和业务骨干人员组成，并在下发裁判聘用通知时公布。</w:t>
      </w:r>
    </w:p>
    <w:p>
      <w:pPr>
        <w:numPr>
          <w:ilvl w:val="0"/>
          <w:numId w:val="6"/>
        </w:num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报名：请各队将符合条件的选手和人员资料按照要求填好报名表于</w:t>
      </w:r>
      <w:r>
        <w:rPr>
          <w:rFonts w:ascii="华文仿宋" w:hAnsi="华文仿宋" w:eastAsia="华文仿宋" w:cs="华文仿宋"/>
          <w:color w:val="000000"/>
          <w:kern w:val="0"/>
          <w:sz w:val="32"/>
          <w:szCs w:val="32"/>
          <w:lang w:bidi="ar"/>
        </w:rPr>
        <w:t>2018</w:t>
      </w:r>
      <w:r>
        <w:rPr>
          <w:rFonts w:hint="eastAsia" w:ascii="华文仿宋" w:hAnsi="华文仿宋" w:eastAsia="华文仿宋" w:cs="华文仿宋"/>
          <w:color w:val="000000"/>
          <w:kern w:val="0"/>
          <w:sz w:val="32"/>
          <w:szCs w:val="32"/>
          <w:lang w:bidi="ar"/>
        </w:rPr>
        <w:t>年</w:t>
      </w:r>
      <w:r>
        <w:rPr>
          <w:rFonts w:ascii="华文仿宋" w:hAnsi="华文仿宋" w:eastAsia="华文仿宋" w:cs="华文仿宋"/>
          <w:color w:val="000000"/>
          <w:kern w:val="0"/>
          <w:sz w:val="32"/>
          <w:szCs w:val="32"/>
          <w:lang w:bidi="ar"/>
        </w:rPr>
        <w:t>2</w:t>
      </w:r>
      <w:r>
        <w:rPr>
          <w:rFonts w:hint="eastAsia" w:ascii="华文仿宋" w:hAnsi="华文仿宋" w:eastAsia="华文仿宋" w:cs="华文仿宋"/>
          <w:color w:val="000000"/>
          <w:kern w:val="0"/>
          <w:sz w:val="32"/>
          <w:szCs w:val="32"/>
          <w:lang w:bidi="ar"/>
        </w:rPr>
        <w:t>月</w:t>
      </w:r>
      <w:r>
        <w:rPr>
          <w:rFonts w:ascii="华文仿宋" w:hAnsi="华文仿宋" w:eastAsia="华文仿宋" w:cs="华文仿宋"/>
          <w:color w:val="000000"/>
          <w:kern w:val="0"/>
          <w:sz w:val="32"/>
          <w:szCs w:val="32"/>
          <w:lang w:bidi="ar"/>
        </w:rPr>
        <w:t>22</w:t>
      </w:r>
      <w:r>
        <w:rPr>
          <w:rFonts w:hint="eastAsia" w:ascii="华文仿宋" w:hAnsi="华文仿宋" w:eastAsia="华文仿宋" w:cs="华文仿宋"/>
          <w:color w:val="000000"/>
          <w:kern w:val="0"/>
          <w:sz w:val="32"/>
          <w:szCs w:val="32"/>
          <w:lang w:bidi="ar"/>
        </w:rPr>
        <w:t>日前报到水上中心五部</w:t>
      </w:r>
      <w:r>
        <w:rPr>
          <w:rFonts w:ascii="华文仿宋" w:hAnsi="华文仿宋" w:eastAsia="华文仿宋" w:cs="华文仿宋"/>
          <w:color w:val="000000"/>
          <w:kern w:val="0"/>
          <w:sz w:val="32"/>
          <w:szCs w:val="32"/>
          <w:lang w:bidi="ar"/>
        </w:rPr>
        <w:t>, </w:t>
      </w:r>
      <w:r>
        <w:rPr>
          <w:rFonts w:hint="eastAsia" w:ascii="华文仿宋" w:hAnsi="华文仿宋" w:eastAsia="华文仿宋" w:cs="华文仿宋"/>
          <w:color w:val="000000"/>
          <w:kern w:val="0"/>
          <w:sz w:val="32"/>
          <w:szCs w:val="32"/>
          <w:lang w:bidi="ar"/>
        </w:rPr>
        <w:t>不接收逾期报名。</w:t>
      </w:r>
    </w:p>
    <w:p>
      <w:pPr>
        <w:ind w:firstLine="640" w:firstLineChars="200"/>
        <w:jc w:val="left"/>
        <w:rPr>
          <w:rFonts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联系人：朱志娜，杨凯淇</w:t>
      </w:r>
      <w:r>
        <w:rPr>
          <w:rFonts w:ascii="华文仿宋" w:hAnsi="华文仿宋" w:eastAsia="华文仿宋" w:cs="华文仿宋"/>
          <w:color w:val="000000"/>
          <w:kern w:val="0"/>
          <w:sz w:val="32"/>
          <w:szCs w:val="32"/>
          <w:lang w:bidi="ar"/>
        </w:rPr>
        <w:t> </w:t>
      </w:r>
      <w:r>
        <w:rPr>
          <w:rFonts w:hint="eastAsia" w:ascii="华文仿宋" w:hAnsi="华文仿宋" w:eastAsia="华文仿宋" w:cs="华文仿宋"/>
          <w:color w:val="000000"/>
          <w:kern w:val="0"/>
          <w:sz w:val="32"/>
          <w:szCs w:val="32"/>
          <w:lang w:bidi="ar"/>
        </w:rPr>
        <w:t>，邮箱：cnmotorboat@126.com</w:t>
      </w:r>
      <w:r>
        <w:rPr>
          <w:rFonts w:ascii="华文仿宋" w:hAnsi="华文仿宋" w:eastAsia="华文仿宋" w:cs="华文仿宋"/>
          <w:color w:val="000000"/>
          <w:kern w:val="0"/>
          <w:sz w:val="32"/>
          <w:szCs w:val="32"/>
          <w:lang w:bidi="ar"/>
        </w:rPr>
        <w:t>   </w:t>
      </w:r>
    </w:p>
    <w:p>
      <w:pPr>
        <w:numPr>
          <w:numId w:val="0"/>
        </w:numPr>
        <w:ind w:firstLine="640" w:firstLineChars="200"/>
        <w:jc w:val="left"/>
        <w:rPr>
          <w:rFonts w:hint="eastAsia"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联系电话：010-67113728 传真：010-67112793</w:t>
      </w:r>
    </w:p>
    <w:p>
      <w:pPr>
        <w:numPr>
          <w:numId w:val="0"/>
        </w:numPr>
        <w:ind w:firstLine="640" w:firstLineChars="200"/>
        <w:jc w:val="left"/>
        <w:rPr>
          <w:rFonts w:hint="eastAsia"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十三、亚运会参赛选手的产生：</w:t>
      </w:r>
    </w:p>
    <w:p>
      <w:pPr>
        <w:numPr>
          <w:numId w:val="0"/>
        </w:numPr>
        <w:jc w:val="left"/>
        <w:rPr>
          <w:rFonts w:hint="eastAsia"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（一） 参赛选手单场赛事总积分为其在该项目上获得的轮次赛积分总和。</w:t>
      </w:r>
    </w:p>
    <w:p>
      <w:pPr>
        <w:numPr>
          <w:ilvl w:val="0"/>
          <w:numId w:val="0"/>
        </w:numPr>
        <w:jc w:val="left"/>
        <w:rPr>
          <w:rFonts w:hint="eastAsia" w:ascii="华文仿宋" w:hAnsi="华文仿宋" w:eastAsia="华文仿宋" w:cs="华文仿宋"/>
          <w:color w:val="000000"/>
          <w:kern w:val="0"/>
          <w:sz w:val="32"/>
          <w:szCs w:val="32"/>
          <w:lang w:bidi="ar"/>
        </w:rPr>
      </w:pPr>
      <w:r>
        <w:rPr>
          <w:rFonts w:hint="eastAsia" w:ascii="仿宋" w:hAnsi="仿宋" w:eastAsia="仿宋" w:cs="华文仿宋"/>
          <w:color w:val="31353B"/>
          <w:kern w:val="0"/>
          <w:sz w:val="32"/>
          <w:szCs w:val="32"/>
          <w:lang w:bidi="ar"/>
        </w:rPr>
        <w:t>（二）</w:t>
      </w:r>
      <w:r>
        <w:rPr>
          <w:rFonts w:hint="eastAsia" w:ascii="华文仿宋" w:hAnsi="华文仿宋" w:eastAsia="华文仿宋" w:cs="华文仿宋"/>
          <w:color w:val="000000"/>
          <w:kern w:val="0"/>
          <w:sz w:val="32"/>
          <w:szCs w:val="32"/>
          <w:lang w:bidi="ar"/>
        </w:rPr>
        <w:t> 选拔赛总积分的计算方法为：S=M1乘以40%+M2乘以60%，其中S为选拔赛总积分，M1为第一场比赛总积分，M2为第二场比赛总积分。如果个别选手选拔赛总积分相同，则以第二场比赛总积分列前者为胜。</w:t>
      </w:r>
    </w:p>
    <w:p>
      <w:pPr>
        <w:numPr>
          <w:ilvl w:val="0"/>
          <w:numId w:val="0"/>
        </w:numPr>
        <w:jc w:val="left"/>
        <w:rPr>
          <w:rFonts w:hint="eastAsia"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（三） 按照上述各项目运动员最终选拔赛总积分排序，总积分成绩列前二名者将入选亚运会摩托艇参赛队伍正选名单，第三、四名作为替补运动员参加赛前队伍集训，以备正选运动员出现特殊情况时替补。</w:t>
      </w:r>
    </w:p>
    <w:p>
      <w:pPr>
        <w:numPr>
          <w:ilvl w:val="0"/>
          <w:numId w:val="0"/>
        </w:numPr>
        <w:ind w:firstLine="640" w:firstLineChars="200"/>
        <w:jc w:val="left"/>
        <w:rPr>
          <w:rFonts w:hint="eastAsia" w:ascii="华文仿宋" w:hAnsi="华文仿宋" w:eastAsia="华文仿宋" w:cs="华文仿宋"/>
          <w:color w:val="000000"/>
          <w:kern w:val="0"/>
          <w:sz w:val="32"/>
          <w:szCs w:val="32"/>
          <w:lang w:bidi="ar"/>
        </w:rPr>
      </w:pPr>
      <w:r>
        <w:rPr>
          <w:rFonts w:hint="eastAsia" w:ascii="华文仿宋" w:hAnsi="华文仿宋" w:eastAsia="华文仿宋" w:cs="华文仿宋"/>
          <w:color w:val="000000"/>
          <w:kern w:val="0"/>
          <w:sz w:val="32"/>
          <w:szCs w:val="32"/>
          <w:lang w:bidi="ar"/>
        </w:rPr>
        <w:t>十四、其它未尽事宜将在全国摩托艇锦标赛（春季分站赛）竞赛规程中详述。</w:t>
      </w:r>
    </w:p>
    <w:p>
      <w:pPr>
        <w:numPr>
          <w:ilvl w:val="0"/>
          <w:numId w:val="0"/>
        </w:numPr>
        <w:ind w:firstLine="640" w:firstLineChars="200"/>
        <w:jc w:val="left"/>
        <w:rPr>
          <w:rFonts w:hint="eastAsia" w:ascii="华文仿宋" w:hAnsi="华文仿宋" w:eastAsia="华文仿宋" w:cs="华文仿宋"/>
          <w:color w:val="000000"/>
          <w:kern w:val="0"/>
          <w:sz w:val="32"/>
          <w:szCs w:val="32"/>
          <w:lang w:bidi="ar"/>
        </w:rPr>
      </w:pPr>
      <w:bookmarkStart w:id="0" w:name="_GoBack"/>
      <w:bookmarkEnd w:id="0"/>
      <w:r>
        <w:rPr>
          <w:rFonts w:hint="eastAsia" w:ascii="华文仿宋" w:hAnsi="华文仿宋" w:eastAsia="华文仿宋" w:cs="华文仿宋"/>
          <w:color w:val="000000"/>
          <w:kern w:val="0"/>
          <w:sz w:val="32"/>
          <w:szCs w:val="32"/>
          <w:lang w:bidi="ar"/>
        </w:rPr>
        <w:t>十五、请各有意参赛的单位在本办法公示5日内，将反馈意见和建议（第十二条除外），以书面文字形式加盖公章，报我中心五部，逾期视为无意见。</w:t>
      </w:r>
    </w:p>
    <w:p>
      <w:pPr>
        <w:numPr>
          <w:ilvl w:val="0"/>
          <w:numId w:val="0"/>
        </w:numPr>
        <w:jc w:val="left"/>
        <w:rPr>
          <w:rFonts w:hint="eastAsia" w:ascii="华文仿宋" w:hAnsi="华文仿宋" w:eastAsia="华文仿宋" w:cs="华文仿宋"/>
          <w:color w:val="000000"/>
          <w:kern w:val="0"/>
          <w:sz w:val="32"/>
          <w:szCs w:val="32"/>
          <w:lang w:bidi="ar"/>
        </w:rPr>
      </w:pPr>
    </w:p>
    <w:p>
      <w:pPr>
        <w:jc w:val="left"/>
        <w:rPr>
          <w:rFonts w:ascii="仿宋" w:hAnsi="仿宋" w:eastAsia="仿宋" w:cs="华文仿宋"/>
          <w:color w:val="000000"/>
          <w:kern w:val="0"/>
          <w:sz w:val="32"/>
          <w:szCs w:val="32"/>
          <w:lang w:bidi="ar"/>
        </w:rPr>
      </w:pPr>
    </w:p>
    <w:p>
      <w:pPr>
        <w:ind w:firstLine="4480" w:firstLineChars="1400"/>
        <w:jc w:val="left"/>
        <w:rPr>
          <w:rFonts w:ascii="仿宋" w:hAnsi="仿宋" w:eastAsia="仿宋" w:cs="华文仿宋"/>
          <w:color w:val="000000"/>
          <w:kern w:val="0"/>
          <w:sz w:val="32"/>
          <w:szCs w:val="32"/>
          <w:lang w:bidi="ar"/>
        </w:rPr>
      </w:pPr>
      <w:r>
        <w:rPr>
          <w:rFonts w:hint="eastAsia" w:ascii="仿宋" w:hAnsi="仿宋" w:eastAsia="仿宋" w:cs="华文仿宋"/>
          <w:color w:val="000000"/>
          <w:kern w:val="0"/>
          <w:sz w:val="32"/>
          <w:szCs w:val="32"/>
          <w:lang w:bidi="ar"/>
        </w:rPr>
        <w:t>体育总局水上中心</w:t>
      </w:r>
    </w:p>
    <w:p>
      <w:pPr>
        <w:ind w:firstLine="4480" w:firstLineChars="1400"/>
        <w:jc w:val="left"/>
        <w:rPr>
          <w:rFonts w:ascii="仿宋" w:hAnsi="仿宋" w:eastAsia="仿宋" w:cs="华文仿宋"/>
          <w:color w:val="000000"/>
          <w:kern w:val="0"/>
          <w:sz w:val="32"/>
          <w:szCs w:val="32"/>
          <w:lang w:bidi="ar"/>
        </w:rPr>
      </w:pPr>
      <w:r>
        <w:rPr>
          <w:rFonts w:hint="eastAsia" w:ascii="仿宋" w:hAnsi="仿宋" w:eastAsia="仿宋" w:cs="华文仿宋"/>
          <w:color w:val="000000"/>
          <w:kern w:val="0"/>
          <w:sz w:val="32"/>
          <w:szCs w:val="32"/>
          <w:lang w:bidi="ar"/>
        </w:rPr>
        <w:t>2018年2月6日</w:t>
      </w:r>
    </w:p>
    <w:p>
      <w:pPr>
        <w:rPr>
          <w:rFonts w:ascii="华文仿宋" w:hAnsi="华文仿宋" w:eastAsia="华文仿宋" w:cs="华文仿宋"/>
          <w:color w:val="000000"/>
          <w:kern w:val="0"/>
          <w:sz w:val="32"/>
          <w:szCs w:val="32"/>
          <w:lang w:bidi="ar"/>
        </w:rPr>
      </w:pPr>
    </w:p>
    <w:sectPr>
      <w:footerReference r:id="rId3" w:type="default"/>
      <w:pgSz w:w="11906" w:h="16838"/>
      <w:pgMar w:top="1440"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92432"/>
    <w:multiLevelType w:val="singleLevel"/>
    <w:tmpl w:val="9F192432"/>
    <w:lvl w:ilvl="0" w:tentative="0">
      <w:start w:val="1"/>
      <w:numFmt w:val="chineseCounting"/>
      <w:suff w:val="nothing"/>
      <w:lvlText w:val="（%1）"/>
      <w:lvlJc w:val="left"/>
      <w:rPr>
        <w:rFonts w:hint="eastAsia"/>
      </w:rPr>
    </w:lvl>
  </w:abstractNum>
  <w:abstractNum w:abstractNumId="1">
    <w:nsid w:val="B07A17FA"/>
    <w:multiLevelType w:val="singleLevel"/>
    <w:tmpl w:val="B07A17FA"/>
    <w:lvl w:ilvl="0" w:tentative="0">
      <w:start w:val="7"/>
      <w:numFmt w:val="chineseCounting"/>
      <w:suff w:val="nothing"/>
      <w:lvlText w:val="%1、"/>
      <w:lvlJc w:val="left"/>
      <w:rPr>
        <w:rFonts w:hint="eastAsia"/>
      </w:rPr>
    </w:lvl>
  </w:abstractNum>
  <w:abstractNum w:abstractNumId="2">
    <w:nsid w:val="FB4C61DC"/>
    <w:multiLevelType w:val="singleLevel"/>
    <w:tmpl w:val="FB4C61DC"/>
    <w:lvl w:ilvl="0" w:tentative="0">
      <w:start w:val="4"/>
      <w:numFmt w:val="chineseCounting"/>
      <w:suff w:val="nothing"/>
      <w:lvlText w:val="%1、"/>
      <w:lvlJc w:val="left"/>
      <w:rPr>
        <w:rFonts w:hint="eastAsia"/>
      </w:rPr>
    </w:lvl>
  </w:abstractNum>
  <w:abstractNum w:abstractNumId="3">
    <w:nsid w:val="FD1404A6"/>
    <w:multiLevelType w:val="singleLevel"/>
    <w:tmpl w:val="FD1404A6"/>
    <w:lvl w:ilvl="0" w:tentative="0">
      <w:start w:val="1"/>
      <w:numFmt w:val="chineseCounting"/>
      <w:suff w:val="nothing"/>
      <w:lvlText w:val="（%1）"/>
      <w:lvlJc w:val="left"/>
      <w:rPr>
        <w:rFonts w:hint="eastAsia"/>
      </w:rPr>
    </w:lvl>
  </w:abstractNum>
  <w:abstractNum w:abstractNumId="4">
    <w:nsid w:val="014902B8"/>
    <w:multiLevelType w:val="singleLevel"/>
    <w:tmpl w:val="014902B8"/>
    <w:lvl w:ilvl="0" w:tentative="0">
      <w:start w:val="2"/>
      <w:numFmt w:val="chineseCounting"/>
      <w:suff w:val="nothing"/>
      <w:lvlText w:val="（%1）"/>
      <w:lvlJc w:val="left"/>
      <w:rPr>
        <w:rFonts w:hint="eastAsia"/>
      </w:rPr>
    </w:lvl>
  </w:abstractNum>
  <w:abstractNum w:abstractNumId="5">
    <w:nsid w:val="11F62176"/>
    <w:multiLevelType w:val="singleLevel"/>
    <w:tmpl w:val="11F62176"/>
    <w:lvl w:ilvl="0" w:tentative="0">
      <w:start w:val="1"/>
      <w:numFmt w:val="chineseCounting"/>
      <w:suff w:val="nothing"/>
      <w:lvlText w:val="%1、"/>
      <w:lvlJc w:val="left"/>
      <w:rPr>
        <w:rFonts w:hint="eastAsia"/>
      </w:rPr>
    </w:lvl>
  </w:abstractNum>
  <w:abstractNum w:abstractNumId="6">
    <w:nsid w:val="1ADD02F2"/>
    <w:multiLevelType w:val="singleLevel"/>
    <w:tmpl w:val="1ADD02F2"/>
    <w:lvl w:ilvl="0" w:tentative="0">
      <w:start w:val="1"/>
      <w:numFmt w:val="chineseCounting"/>
      <w:suff w:val="nothing"/>
      <w:lvlText w:val="（%1）"/>
      <w:lvlJc w:val="left"/>
      <w:pPr>
        <w:ind w:left="640" w:firstLine="0"/>
      </w:pPr>
      <w:rPr>
        <w:rFonts w:hint="eastAsi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0E"/>
    <w:rsid w:val="003D20D0"/>
    <w:rsid w:val="00504BD7"/>
    <w:rsid w:val="006C4E21"/>
    <w:rsid w:val="00C9270E"/>
    <w:rsid w:val="00DD622B"/>
    <w:rsid w:val="0178491B"/>
    <w:rsid w:val="0EC816C1"/>
    <w:rsid w:val="22332AD7"/>
    <w:rsid w:val="22AC1B0C"/>
    <w:rsid w:val="254A32FA"/>
    <w:rsid w:val="2D5F1F53"/>
    <w:rsid w:val="55A762B7"/>
    <w:rsid w:val="58E20B42"/>
    <w:rsid w:val="7601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before="158"/>
      <w:ind w:left="100"/>
      <w:jc w:val="left"/>
    </w:pPr>
    <w:rPr>
      <w:rFonts w:ascii="Times New Roman"/>
      <w:sz w:val="24"/>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批注框文本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481</Words>
  <Characters>2748</Characters>
  <Lines>22</Lines>
  <Paragraphs>6</Paragraphs>
  <TotalTime>0</TotalTime>
  <ScaleCrop>false</ScaleCrop>
  <LinksUpToDate>false</LinksUpToDate>
  <CharactersWithSpaces>3223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wubu</dc:creator>
  <cp:lastModifiedBy>wubu</cp:lastModifiedBy>
  <cp:lastPrinted>2018-02-06T02:46:51Z</cp:lastPrinted>
  <dcterms:modified xsi:type="dcterms:W3CDTF">2018-02-06T02:48:30Z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